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86R7192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office of minority statistics and engagement in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OFFICE OF MINORITY STATISTICS AND ENGAGEMENT.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minority statistics and engagement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existing resources, the department, in consultation with an institution of higher education and the child welfare community, shall establish an office of minority statistics and engagement within the department to address the disproportionality in the rate of use of child protective and welfare services by and the provision of those services to children who are members of a racial or ethnic minority group and are in the child welfare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collaboration with an institution of higher education and appropriate persons in the child welfare community, the office shall identify the causes of the disproportionality described by Subsection (b) and develop recommendations for addressing those causes and for improving the rate of use of child protective and welfare services by and the provision of those services to children and their families.  In identifying the causes and developing recommendations,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with the institution any information necessary for the institution to assist in identifying the causes and developing recommendations;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unique needs and resources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 the outcomes for children in the child welfare system and the services necessary to improve the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annually submit a written report to the governor, lieutenant governor, speaker of the house of representatives, and chair of each standing legislative committee with primary jurisdiction over the department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recommendations developed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to address disproportionality across the child welfare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summary of the initiatives developed by the department during the preceding year to address the causes of disproportionality identified in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