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489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information that may be omitted from certain records, licenses, and reports and to other court security measures.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254, Election Code, is amended by adding Section 254.0313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254.0313.</w:t>
      </w:r>
      <w:r>
        <w:rPr>
          <w:u w:val="single"/>
        </w:rPr>
        <w:t xml:space="preserve"> </w:t>
      </w:r>
      <w:r>
        <w:rPr>
          <w:u w:val="single"/>
        </w:rPr>
        <w:t xml:space="preserve"> </w:t>
      </w:r>
      <w:r>
        <w:rPr>
          <w:u w:val="single"/>
        </w:rPr>
        <w:t xml:space="preserve">OMISSION OF ADDRESS FOR JUDGE AND SPOUSE.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"federal judge" and "state judge" have the meanings assigned by Section 13.0021.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notice from the Office of Court Administration of the Texas Judicial System of a judge's qualification for office or on receipt of a written request from a federal judge, state judge, or spouse of a federal or state judge, the commission shall remove or redact the residence address of a federal judge, a state judge, or the spouse of a federal or state judge from any report filed by the judge in the judge's capacity or made available on the Internet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72.015,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of security and emergency preparedness shall annually submit to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on court security activities throughout the state supported by the judicial security division,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technical aspects of providing court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security training provided or required by the judicial security division;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sufficiency of judicial security division resources to evaluate and monitor court security;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adequacy of funding to maintain court security;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use of state resources in providing court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improving court security;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increasing the amount of state funds and other resources made available for court security.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11.008(a), Property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"instrument" means a deed</w:t>
      </w:r>
      <w:r>
        <w:rPr>
          <w:u w:val="single"/>
        </w:rPr>
        <w:t xml:space="preserve">,</w:t>
      </w:r>
      <w:r>
        <w:t xml:space="preserve"> [</w:t>
      </w:r>
      <w:r>
        <w:rPr>
          <w:strike/>
        </w:rPr>
        <w:t xml:space="preserve">or</w:t>
      </w:r>
      <w:r>
        <w:t xml:space="preserve">] deed of trust</w:t>
      </w:r>
      <w:r>
        <w:rPr>
          <w:u w:val="single"/>
        </w:rPr>
        <w:t xml:space="preserve">, or any other record recorded by a county clerk related to real property, including a mineral lease, a mechanic's lien, and the release of a mechanic's lien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25.025(b), Tax Code, is amended to read as follows:</w:t>
      </w:r>
    </w:p>
    <w:p w:rsidR="003F3435" w:rsidRDefault="0032493E">
      <w:pPr>
        <w:spacing w:line="480" w:lineRule="auto"/>
        <w:ind w:firstLine="720"/>
        <w:jc w:val="both"/>
      </w:pPr>
      <w:r>
        <w:t xml:space="preserve">(b)</w:t>
      </w:r>
      <w:r xml:space="preserve">
        <w:t> </w:t>
      </w:r>
      <w:r xml:space="preserve">
        <w:t> </w:t>
      </w:r>
      <w:r>
        <w:t xml:space="preserve">Information in appraisal records under Section 25.02 is confidential and is available only for the official use of the appraisal district, this state, the comptroller, and taxing units and political subdivisions of this state if:</w:t>
      </w:r>
    </w:p>
    <w:p w:rsidR="003F3435" w:rsidRDefault="0032493E">
      <w:pPr>
        <w:spacing w:line="480" w:lineRule="auto"/>
        <w:ind w:firstLine="1440"/>
        <w:jc w:val="both"/>
      </w:pPr>
      <w:r>
        <w:t xml:space="preserve">(1)</w:t>
      </w:r>
      <w:r xml:space="preserve">
        <w:t> </w:t>
      </w:r>
      <w:r xml:space="preserve">
        <w:t> </w:t>
      </w:r>
      <w:r>
        <w:t xml:space="preserve">the information identifies the home address of a named individual to whom this section applies;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chooses to restrict public access to the information on the form prescribed for that purpose by the comptroller under Section 5.07; or</w:t>
      </w:r>
    </w:p>
    <w:p w:rsidR="003F3435" w:rsidRDefault="0032493E">
      <w:pPr>
        <w:spacing w:line="480" w:lineRule="auto"/>
        <w:ind w:firstLine="2160"/>
        <w:jc w:val="both"/>
      </w:pPr>
      <w:r>
        <w:t xml:space="preserve">(B)</w:t>
      </w:r>
      <w:r xml:space="preserve">
        <w:t> </w:t>
      </w:r>
      <w:r xml:space="preserve">
        <w:t> </w:t>
      </w:r>
      <w:r>
        <w:t xml:space="preserve">is a federal or state judge [</w:t>
      </w:r>
      <w:r>
        <w:rPr>
          <w:strike/>
        </w:rPr>
        <w:t xml:space="preserve">as defined by Section 572.002, Government Code</w:t>
      </w:r>
      <w:r>
        <w:t xml:space="preserve">], or the spouse of a federal or state judge, beginning on the date the Office of Court Administration of the Texas Judicial System notifies the appraisal district of the judge's qualification for the judge's office.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521.121(c),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establish a procedure, on a license holder's qualification for office as a federal or state judge as defined by Section </w:t>
      </w:r>
      <w:r>
        <w:rPr>
          <w:u w:val="single"/>
        </w:rPr>
        <w:t xml:space="preserve">13.0021, Election Code</w:t>
      </w:r>
      <w:r>
        <w:t xml:space="preserve"> [</w:t>
      </w:r>
      <w:r>
        <w:rPr>
          <w:strike/>
        </w:rPr>
        <w:t xml:space="preserve">572.002, Government Code</w:t>
      </w:r>
      <w:r>
        <w:t xml:space="preserve">], to omit the residence address of the judge and the spouse of the judge on the license holder's license and to include, in lieu of that address, the street address of the courthouse in which the license holder or license holder's spouse serves as a federal judge or state judge.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254.0313, Election Code, as added by this Act, applies only to a report filed by a federal judge or state judge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