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489</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licenses, and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judge's qualification for office or on receipt of a written request from a federal judge, state judge, or spouse of a federal or state judge, the commission shall remove or redact the residence address of a federal judge, a state judge, or the spouse of a federal or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as added by this Act, applies only to a report filed by a federal judge or state judge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