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493</w:t>
      </w:r>
    </w:p>
    <w:p w:rsidR="003F3435" w:rsidRDefault="0032493E">
      <w:pPr>
        <w:ind w:firstLine="720"/>
        <w:jc w:val="both"/>
      </w:pPr>
      <w:r>
        <w:t xml:space="preserve">(Thompson of Harris, Allen, Farrar, Morales,</w:t>
      </w:r>
    </w:p>
    <w:p w:rsidR="003F3435" w:rsidRDefault="0032493E">
      <w:pPr>
        <w:ind w:firstLine="720"/>
        <w:jc w:val="both"/>
      </w:pPr>
      <w:r>
        <w:t xml:space="preserve">Rodriguez,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board may allocate housing tax credits to more than one development in a single community, as defined by department rule, in the same calendar year only if the developments are or will be located more than two linear miles apart.  This subsection applies only to communities contained within counties with populations exceeding one million.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board may allocate housing tax credits to more than one development in a single community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 is a federally declared disaster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containing the development or, if located outside a municipality, the county containing the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by vote specifically authorized the allocation of housing tax credits for the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administer disaster recovery funds as a subgrant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