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86R4241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496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factors the Texas Historical Commission considers in reviewing an application for a grant or loan through the historic courthouse preservation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442.0081(e), Government Code, is amended to read as follows:</w:t>
      </w:r>
    </w:p>
    <w:p w:rsidR="003F3435" w:rsidRDefault="0032493E">
      <w:pPr>
        <w:spacing w:line="480" w:lineRule="auto"/>
        <w:ind w:firstLine="720"/>
        <w:jc w:val="both"/>
      </w:pPr>
      <w:r>
        <w:t xml:space="preserve">(e)</w:t>
      </w:r>
      <w:r xml:space="preserve">
        <w:t> </w:t>
      </w:r>
      <w:r xml:space="preserve">
        <w:t> </w:t>
      </w:r>
      <w:r>
        <w:t xml:space="preserve">In considering whether to grant an application, the commission shall also consider the following factors:</w:t>
      </w:r>
    </w:p>
    <w:p w:rsidR="003F3435" w:rsidRDefault="0032493E">
      <w:pPr>
        <w:spacing w:line="480" w:lineRule="auto"/>
        <w:ind w:firstLine="1440"/>
        <w:jc w:val="both"/>
      </w:pPr>
      <w:r>
        <w:t xml:space="preserve">(1)</w:t>
      </w:r>
      <w:r xml:space="preserve">
        <w:t> </w:t>
      </w:r>
      <w:r xml:space="preserve">
        <w:t> </w:t>
      </w:r>
      <w:r>
        <w:t xml:space="preserve">the amount of money available for a grant or loan and the percentage of the costs that the county or municipality will contribute;</w:t>
      </w:r>
    </w:p>
    <w:p w:rsidR="003F3435" w:rsidRDefault="0032493E">
      <w:pPr>
        <w:spacing w:line="480" w:lineRule="auto"/>
        <w:ind w:firstLine="1440"/>
        <w:jc w:val="both"/>
      </w:pPr>
      <w:r>
        <w:t xml:space="preserve">(2)</w:t>
      </w:r>
      <w:r xml:space="preserve">
        <w:t> </w:t>
      </w:r>
      <w:r xml:space="preserve">
        <w:t> </w:t>
      </w:r>
      <w:r>
        <w:t xml:space="preserve">whether the county or municipality will contribute any in-kind contribution such as labor or materials;</w:t>
      </w:r>
    </w:p>
    <w:p w:rsidR="003F3435" w:rsidRDefault="0032493E">
      <w:pPr>
        <w:spacing w:line="480" w:lineRule="auto"/>
        <w:ind w:firstLine="1440"/>
        <w:jc w:val="both"/>
      </w:pPr>
      <w:r>
        <w:t xml:space="preserve">(3)</w:t>
      </w:r>
      <w:r xml:space="preserve">
        <w:t> </w:t>
      </w:r>
      <w:r xml:space="preserve">
        <w:t> </w:t>
      </w:r>
      <w:r>
        <w:t xml:space="preserve">the cost to preserve or restore the courthouse;</w:t>
      </w:r>
    </w:p>
    <w:p w:rsidR="003F3435" w:rsidRDefault="0032493E">
      <w:pPr>
        <w:spacing w:line="480" w:lineRule="auto"/>
        <w:ind w:firstLine="1440"/>
        <w:jc w:val="both"/>
      </w:pPr>
      <w:r>
        <w:t xml:space="preserve">(4)</w:t>
      </w:r>
      <w:r xml:space="preserve">
        <w:t> </w:t>
      </w:r>
      <w:r xml:space="preserve">
        <w:t> </w:t>
      </w:r>
      <w:r>
        <w:t xml:space="preserve">the architectural style of the courthouse;</w:t>
      </w:r>
    </w:p>
    <w:p w:rsidR="003F3435" w:rsidRDefault="0032493E">
      <w:pPr>
        <w:spacing w:line="480" w:lineRule="auto"/>
        <w:ind w:firstLine="1440"/>
        <w:jc w:val="both"/>
      </w:pPr>
      <w:r>
        <w:t xml:space="preserve">(5)</w:t>
      </w:r>
      <w:r xml:space="preserve">
        <w:t> </w:t>
      </w:r>
      <w:r xml:space="preserve">
        <w:t> </w:t>
      </w:r>
      <w:r>
        <w:t xml:space="preserve">the historic significance of the courthouse;</w:t>
      </w:r>
    </w:p>
    <w:p w:rsidR="003F3435" w:rsidRDefault="0032493E">
      <w:pPr>
        <w:spacing w:line="480" w:lineRule="auto"/>
        <w:ind w:firstLine="1440"/>
        <w:jc w:val="both"/>
      </w:pPr>
      <w:r>
        <w:t xml:space="preserve">(6)</w:t>
      </w:r>
      <w:r xml:space="preserve">
        <w:t> </w:t>
      </w:r>
      <w:r xml:space="preserve">
        <w:t> </w:t>
      </w:r>
      <w:r>
        <w:t xml:space="preserve">the county's or municipality's master preservation plan;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county's or municipality's local funding capacity as measured by the total taxable value of properties in the county or municipality, as applicable; and</w:t>
      </w:r>
    </w:p>
    <w:p w:rsidR="003F3435" w:rsidRDefault="0032493E">
      <w:pPr>
        <w:spacing w:line="480" w:lineRule="auto"/>
        <w:ind w:firstLine="1440"/>
        <w:jc w:val="both"/>
      </w:pPr>
      <w:r>
        <w:rPr>
          <w:u w:val="single"/>
        </w:rPr>
        <w:t xml:space="preserve">(8)</w:t>
      </w:r>
      <w:r xml:space="preserve">
        <w:t> </w:t>
      </w:r>
      <w:r xml:space="preserve">
        <w:t> </w:t>
      </w:r>
      <w:r>
        <w:t xml:space="preserve">any other factors that the commission by rule may provide.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