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Seliger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502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January</w:t>
      </w:r>
      <w:r xml:space="preserve">
        <w:t> </w:t>
      </w:r>
      <w:r>
        <w:t xml:space="preserve">29,</w:t>
      </w:r>
      <w:r xml:space="preserve">
        <w:t> </w:t>
      </w:r>
      <w:r>
        <w:t xml:space="preserve">2019; February</w:t>
      </w:r>
      <w:r xml:space="preserve">
        <w:t> </w:t>
      </w:r>
      <w:r>
        <w:t xml:space="preserve">14,</w:t>
      </w:r>
      <w:r xml:space="preserve">
        <w:t> </w:t>
      </w:r>
      <w:r>
        <w:t xml:space="preserve">2019, read first time and referred to Committee on Higher Education; April</w:t>
      </w:r>
      <w:r xml:space="preserve">
        <w:t> </w:t>
      </w:r>
      <w:r>
        <w:t xml:space="preserve">15,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15,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Buckingham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Powell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Taylor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Watson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requiring certain institutions of higher education to issue reports on the transferability of credit.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51, Education Code, is amended by adding Sections 51.400 and 51.4033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51.400.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"Coordinating board"</w:t>
      </w:r>
      <w:r>
        <w:rPr>
          <w:u w:val="single"/>
        </w:rPr>
        <w:t xml:space="preserve"> </w:t>
      </w:r>
      <w:r>
        <w:rPr>
          <w:u w:val="single"/>
        </w:rPr>
        <w:t xml:space="preserve">means the Texas Higher Education Coordinating Board.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"General academic teaching institution," "institution of higher education," and "medical and dental unit" have the meanings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51.4033.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 OF NONTRANSFERABLE CREDIT.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1 of each year and in the form prescribed by the coordinating board, each general academic teaching institution and medical and dental unit shall provide to the coordinating board a report describing any courses for which a student who transfers to the institution from another institution of higher education is not granted academic credit at the receiving institution.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report required by this section must indicate: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course name and type;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which institution of higher education provided academic credit for the course;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reason why the receiving institution did not grant academic credit for the course.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Each public institution of higher education and medical and dental unit required to submit a report under Section 51.4033, Education Code, as added by this Act, shall submit the first report not later than December 1, 2020.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