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504</w:t>
      </w:r>
    </w:p>
    <w:p w:rsidR="003F3435" w:rsidRDefault="0032493E">
      <w:pPr>
        <w:ind w:firstLine="720"/>
        <w:jc w:val="both"/>
      </w:pPr>
      <w:r>
        <w:t xml:space="preserve">(Beckley)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certain information in postsecondary education and career counseling academies developed for certain school counselors and other postsecondary advisors employed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33.009, Education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academy developed under this section may include information regarding social-emotional learning and indicators of behavioral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