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29,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Higher Education;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inclusion of certain information in postsecondary education and career counseling academies developed for certain school counselors and other postsecondary advisors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33.009,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academy developed under this section may include information regarding social-emotional learning and indicators of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