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86R6736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506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 handgun during a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Section 46.02 does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while: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evacuating from an area subject to a mandatory evacuation order issued during a state of disaster declared under Section 418.014, Government Code, or a local state of disaster declared under Section 418.108, Government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reentering that area following the person's evacuation;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168 hours have elapsed since the evacuation was ordered or more than 168 hours have elapsed since the evacuation order was issued and the governor has extended the period during which a person may carry a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Sections 46.02, 46.03(a)(1), (a)(2), (a)(3), and (a)(4), and 46.035(a), (a-1), (a-2), (a-3), (b)(1), (b)(4), (b)(5), and (b)(6) do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controller, or operator of the premises or a person acting with the apparent authority of the owner, controller, or operator, authorized the carrying of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