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wellness and success center fee at the University of Houston-Downtown.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54.5402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54.5402.</w:t>
      </w:r>
      <w:r>
        <w:rPr>
          <w:u w:val="single"/>
        </w:rPr>
        <w:t xml:space="preserve"> </w:t>
      </w:r>
      <w:r>
        <w:rPr>
          <w:u w:val="single"/>
        </w:rPr>
        <w:t xml:space="preserve"> </w:t>
      </w:r>
      <w:r>
        <w:rPr>
          <w:u w:val="single"/>
        </w:rPr>
        <w:t xml:space="preserve">WELLNESS AND SUCCESS CENTER FEE; UNIVERSITY OF HOUSTON-DOWNTOWN.  (a)  The board of regents of the University of Houston System may charge each student enrolled at the University of Houston-Downtown a wellness and success center fee.  The fee may be used only for the purpose of financing, constructing, operating, maintaining, improving, and equipping a wellness and success center and for operating student wellness programs at the University of Houston-Downtown.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wellness and success center fee may not be charged unless the charging of the fee is approved by a majority vote of the students enrolled at the university participating in a general student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a fee charged under this section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per student for each regular semester;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per student for each summer session of eight weeks or longer;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 student for each term of the summer session of less than eight weeks.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from a fee charged under this section shall be deposited to the credit of an account known as the University of Houston-Downtown Wellness and Success Center Fee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may increase the amount of a fee charged under this section, except that the board may not increase the amount of the fee to an amount that exceeds by more than 10 percent the amount of the fee charged during the preceding academic year unless the amount of the increase is approved by a majority vote of students enrolled at the university participating in a general student election held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wellness and success center fee is not considered in determining the maximum amount of student services fees that may be charged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