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86R3477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508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 statewide online education and career advising tool and the establishment of a grant program to reimburse private employers for paid internships provided to certain public school students in career and technology education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28.0092.</w:t>
      </w:r>
      <w:r>
        <w:rPr>
          <w:u w:val="single"/>
        </w:rPr>
        <w:t xml:space="preserve"> </w:t>
      </w:r>
      <w:r>
        <w:rPr>
          <w:u w:val="single"/>
        </w:rPr>
        <w:t xml:space="preserve"> </w:t>
      </w:r>
      <w:r>
        <w:rPr>
          <w:u w:val="single"/>
        </w:rPr>
        <w:t xml:space="preserve">ONLINE EDUCATION AND CAREER ADVISING TOOL.  (a) In this section,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availability of federal funding for this purpose, the agency shall develop and implement a statewide online education and career advising tool to assist children in making informed, meaningful, and attainable postsecondary and career plans.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online education and career advising tool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individualized career pathway generator that assists a child in selecting a career and identifying the secondary and postsecondary courses the child should take to advance toward that career;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local, regional, or statewide articulation agreements regarding dual credit programs or the transfer of course credit between institutions of higher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postsecondary and career options associated with each endorsement under Section 28.025(c-1), including the dual credit courses related to each endorsement that apply toward a certificate or degree program at an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stackable degree programs provided by an institution of higher education through which a student may obtain a series of credentials as the student progresses through the program;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existing and anticipated employment opportunities statewide and in a child's community, aligned to state and regional workforce needs;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anticipated earnings in various careers;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local, regional, and statewide career training and certification programs, including the requirements, costs, and available options for those programs;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time and cost required for and other expenses related to various postsecondary and career options.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and implementing the online education and career advising tool, the agency shall consult with the Texas Higher Education Coordinating Board and the Texas Workforce Commission. </w:t>
      </w:r>
      <w:r>
        <w:rPr>
          <w:u w:val="single"/>
        </w:rPr>
        <w:t xml:space="preserve"> </w:t>
      </w:r>
      <w:r>
        <w:rPr>
          <w:u w:val="single"/>
        </w:rPr>
        <w:t xml:space="preserve">On request by the agency, the coordinating board and the commission shall provide to the agency any data maintained by the coordinating board or commission that is necessary to develop the tool.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29, Education Code, is amended by adding Section 29.194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29.194.</w:t>
      </w:r>
      <w:r>
        <w:rPr>
          <w:u w:val="single"/>
        </w:rPr>
        <w:t xml:space="preserve"> </w:t>
      </w:r>
      <w:r>
        <w:rPr>
          <w:u w:val="single"/>
        </w:rPr>
        <w:t xml:space="preserve"> </w:t>
      </w:r>
      <w:r>
        <w:rPr>
          <w:u w:val="single"/>
        </w:rPr>
        <w:t xml:space="preserve">GRANT PROGRAM FOR PAID INTERNSHIPS.  (a) To encourage private entities to participate in providing career and technology education to assist public school students in developing the knowledge, skills, and competencies necessary for a broad range of career opportunities, the commissioner shall establish a competitive grant program under which grants are awarded to school districts and open-enrollment charter schools for the reimbursement of private entities for all or part of the cost of providing a paid internship or similar program to a student participating in a career and technology education program in the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awarding grants under this section, the commissioner shall give preference to school districts and open-enrollment charter schools that, as determined by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 high percentage of students who fail to perform satisfactorily on relevant state assessments;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economically disadvantaged neighborhoods.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to receive reimbursement under the grant program, a paid internship or similar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satisfy a curriculum requirement for an endorsement adopted by rule under Section 28.025(c-1), or qualify as a dual credit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student at least the minimum wage required by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total amount of grants awarded under this section may not exceed $5 million in a state fiscal biennium. A grant awarded to a school district or open-enrollment charter school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 million in a state fiscal biennium;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determined by the commissioner not to exceed $2,500 for each participating student enrolled in the district or school in the school year in which the grant is awarded.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grant awarded to a school district or open-enrollment charter school may only be used to reimburse a private entity for all or part of the cost of providing an eligible paid internship or similar program to a student participating in a career and technology education program in the district or school. A private entity may not receive reimbursement under this section for providing a paid internship or similar program to a student who is related to the owner of the entity within the third degree of consanguinity as determined under Subchapter B, Chapter 573,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even-numbered year, the commissioner, in cooperation with the Texas Workforce Commission, shall submit to the governor, the lieutenant governor, and the legislature a report on the effectiveness of the grant program in creating jobs. The report must include, to the extent available: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paid internships or similar programs for which a private entity received reimbursement through a grant awarded under this section and the total amount of money reimbursed for those internships or programs through a grant;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students who completed a paid internship or similar program described by Subdivision (1) and were subsequently hired for a permanent job in this state by the private entity that offered the internship or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permanent jobs described by Subdivision (2):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median wage of those jobs;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North American Industry Classification System classification of each of those jobs;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those jobs that provide health benefits coverage;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private entities that offered a paid internship or similar program described by Subdivision (1) that are historically underutilized businesses, as defined by Section 2161.001, Government Code, and the total amount of money reimbursed through a grant awarded under the grant program for the internship or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demographic information on students participating in paid internships or similar programs described by Subdivision (1), including the school districts or open-enrollment charter schools in which the students are enrolled, to the extent allowed under state and federal law;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assessment of the number of eligible paid internships or similar programs that would not have been offered in the absence of a reimbursement provided through a grant and the total number of students who completed those internships or programs, including for each school year in which grants are awarded, an estimate of the number of public high school students of legal working age who were employed in this state for any period of time during that school year outside of a paid internship or similar program described by Subdivision (1).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in consultation with the Texas Workforce Commission, shall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42.005, Education Code, is amended by adding Subsection (g-2) to read as follows: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The time during which a student participates in a paid internship or similar program that is funded in whole or in part through a grant awarded under the grant program established by Section 29.194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29.194, Education Code, as added by 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