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519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dissemination of eviction case information.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24, Property Code, is amended by adding Section 24.012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24.012.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LIMITED DISSEMINATION OF EVICTION CASE INFORMATION. </w:t>
      </w:r>
      <w:r>
        <w:rPr>
          <w:u w:val="single"/>
        </w:rPr>
        <w:t xml:space="preserve"> </w:t>
      </w: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"Eviction case"</w:t>
      </w:r>
      <w:r>
        <w:rPr>
          <w:u w:val="single"/>
        </w:rPr>
        <w:t xml:space="preserve"> </w:t>
      </w:r>
      <w:r>
        <w:rPr>
          <w:u w:val="single"/>
        </w:rPr>
        <w:t xml:space="preserve">means a lawsuit brought under this chapter to recover possession of leased or rented real property from a tenant.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"Eviction case information"</w:t>
      </w:r>
      <w:r>
        <w:rPr>
          <w:u w:val="single"/>
        </w:rPr>
        <w:t xml:space="preserve"> </w:t>
      </w:r>
      <w:r>
        <w:rPr>
          <w:u w:val="single"/>
        </w:rPr>
        <w:t xml:space="preserve">means all records and files related to a filing of an eviction case, including petitions and their dispositions.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Concurrently with a judgment or dismissal in an eviction case or on petition of a defendant in an eviction case where a final order exists, a court shall enter an order of limited dissemination of the eviction case information pertaining to the defendant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judgment is or was entered in favor of the defendant;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eviction case is or was dismissed without any relief granted to the plaintiff;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defendant is or was a residential tenant not otherwise in default and the eviction case was brought by the landlord's successor in interest following foreclosure;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 least five years have elapsed from the date of the final judgment in the eviction case.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Concurrently with a judgment or dismissal in an eviction case or on petition of a defendant in an eviction case, a court may order the limited dissemination of eviction case information pertaining to the defendant if the court finds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limited dissemination of the eviction case information is in the interest of justice;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interest of justice is not outweighed by the public's interest in knowing the eviction case information.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an order is entered granting limited dissemination of eviction case information of a defendant under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all courts or clerks shall delete or redact all index references to the name of the defendant that relate to the eviction case information from the public records;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to the extent permitted by federal law, a credit reporting agency, a person who regularly collects and disseminates eviction case information, or a person who sells eviction case information may not: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disclose the existence of the eviction case;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 the eviction case information as a factor in determining a score or recommendation in a tenant screening report regarding the defendant.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knowingly violates Subsection (d) is liable to an injured party for: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actual damages;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exemplary damages of $1,000;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reasonable attorney's fees and court costs.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Section 41.004(a), Civil Practice and Remedies Code, a court shall award exemplary damages under Subsection (e) (2) to the injured party irrespective of whether the party is awarded actual damages.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supreme court shall adopt rules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January 1, 2020, the Texas Supreme Court shall adopt the rules necessary to implement Section 24.012, Property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2020.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519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