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86R7262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523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consequences of a criminal conviction on a person's eligibility for an occupational license.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53, Occupations Code, is amended by adding Section 53.003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53.003.</w:t>
      </w:r>
      <w:r>
        <w:rPr>
          <w:u w:val="single"/>
        </w:rPr>
        <w:t xml:space="preserve"> </w:t>
      </w:r>
      <w:r>
        <w:rPr>
          <w:u w:val="single"/>
        </w:rPr>
        <w:t xml:space="preserve"> </w:t>
      </w:r>
      <w:r>
        <w:rPr>
          <w:u w:val="single"/>
        </w:rPr>
        <w:t xml:space="preserve">LEGISLATIVE INTENT; LIBERAL CONSTRUCTION OF SUBCHAPTER.  (a)  It is the intent of the legislature to enhance opportunities for a person to obtain gainful employment after the person has: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been convicted of an offense;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discharged the sentence for the offense.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shall be liberally construed to carry out the intent of the legislature.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53.021(a), Occupations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Subject to Section 53.0231, a</w:t>
      </w:r>
      <w:r>
        <w:t xml:space="preserve"> [</w:t>
      </w:r>
      <w:r>
        <w:rPr>
          <w:strike/>
        </w:rPr>
        <w:t xml:space="preserve">A</w:t>
      </w:r>
      <w:r>
        <w:t xml:space="preserve">] licensing authority may suspend or revoke a license, disqualify a person from receiving a license, or deny to a person the opportunity to take a licensing examination on the grounds that the person has been convicted of:</w:t>
      </w:r>
    </w:p>
    <w:p w:rsidR="003F3435" w:rsidRDefault="0032493E">
      <w:pPr>
        <w:spacing w:line="480" w:lineRule="auto"/>
        <w:ind w:firstLine="1440"/>
        <w:jc w:val="both"/>
      </w:pPr>
      <w:r>
        <w:t xml:space="preserve">(1)</w:t>
      </w:r>
      <w:r xml:space="preserve">
        <w:t> </w:t>
      </w:r>
      <w:r xml:space="preserve">
        <w:t> </w:t>
      </w:r>
      <w:r>
        <w:t xml:space="preserve">an offense that directly relates to the duties and responsibilities of the licensed occupation;</w:t>
      </w:r>
    </w:p>
    <w:p w:rsidR="003F3435" w:rsidRDefault="0032493E">
      <w:pPr>
        <w:spacing w:line="480" w:lineRule="auto"/>
        <w:ind w:firstLine="1440"/>
        <w:jc w:val="both"/>
      </w:pPr>
      <w:r>
        <w:t xml:space="preserve">(2)</w:t>
      </w:r>
      <w:r xml:space="preserve">
        <w:t> </w:t>
      </w:r>
      <w:r xml:space="preserve">
        <w:t> </w:t>
      </w:r>
      <w:r>
        <w:t xml:space="preserve">[</w:t>
      </w:r>
      <w:r>
        <w:rPr>
          <w:strike/>
        </w:rPr>
        <w:t xml:space="preserve">an offense that does not directly relate to the duties and responsibilities of the licensed occupation and that was committed less than five years before the date the person applies for the license;</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an offense listed in Article 42A.054, Code of Criminal Procedure; or</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a sexually violent offense, as defined by Article 62.001, Code of Criminal Procedure.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53.022, Occupations Code, is amended to read as follows:</w:t>
      </w:r>
    </w:p>
    <w:p w:rsidR="003F3435" w:rsidRDefault="0032493E">
      <w:pPr>
        <w:spacing w:line="480" w:lineRule="auto"/>
        <w:ind w:firstLine="720"/>
        <w:jc w:val="both"/>
      </w:pPr>
      <w:r>
        <w:t xml:space="preserve">Sec.</w:t>
      </w:r>
      <w:r xml:space="preserve">
        <w:t> </w:t>
      </w:r>
      <w:r>
        <w:t xml:space="preserve">53.022.</w:t>
      </w:r>
      <w:r xml:space="preserve">
        <w:t> </w:t>
      </w:r>
      <w:r xml:space="preserve">
        <w:t> </w:t>
      </w:r>
      <w:r>
        <w:t xml:space="preserve">FACTORS IN DETERMINING WHETHER CONVICTION </w:t>
      </w:r>
      <w:r>
        <w:rPr>
          <w:u w:val="single"/>
        </w:rPr>
        <w:t xml:space="preserve">DIRECTLY</w:t>
      </w:r>
      <w:r>
        <w:t xml:space="preserve"> RELATES TO OCCUPATION.  In determining whether a criminal conviction directly relates to </w:t>
      </w:r>
      <w:r>
        <w:rPr>
          <w:u w:val="single"/>
        </w:rPr>
        <w:t xml:space="preserve">the duties and responsibilities of a licensed</w:t>
      </w:r>
      <w:r>
        <w:t xml:space="preserve"> </w:t>
      </w:r>
      <w:r>
        <w:t xml:space="preserve">[</w:t>
      </w:r>
      <w:r>
        <w:rPr>
          <w:strike/>
        </w:rPr>
        <w:t xml:space="preserve">an</w:t>
      </w:r>
      <w:r>
        <w:t xml:space="preserve">] occupation, the licensing authority shall consider </w:t>
      </w:r>
      <w:r>
        <w:rPr>
          <w:u w:val="single"/>
        </w:rPr>
        <w:t xml:space="preserve">each of the following factors</w:t>
      </w:r>
      <w:r>
        <w:t xml:space="preserve">:</w:t>
      </w:r>
    </w:p>
    <w:p w:rsidR="003F3435" w:rsidRDefault="0032493E">
      <w:pPr>
        <w:spacing w:line="480" w:lineRule="auto"/>
        <w:ind w:firstLine="1440"/>
        <w:jc w:val="both"/>
      </w:pPr>
      <w:r>
        <w:t xml:space="preserve">(1)</w:t>
      </w:r>
      <w:r xml:space="preserve">
        <w:t> </w:t>
      </w:r>
      <w:r xml:space="preserve">
        <w:t> </w:t>
      </w:r>
      <w:r>
        <w:t xml:space="preserve">the nature and seriousness of the crime;</w:t>
      </w:r>
    </w:p>
    <w:p w:rsidR="003F3435" w:rsidRDefault="0032493E">
      <w:pPr>
        <w:spacing w:line="480" w:lineRule="auto"/>
        <w:ind w:firstLine="1440"/>
        <w:jc w:val="both"/>
      </w:pPr>
      <w:r>
        <w:t xml:space="preserve">(2)</w:t>
      </w:r>
      <w:r xml:space="preserve">
        <w:t> </w:t>
      </w:r>
      <w:r xml:space="preserve">
        <w:t> </w:t>
      </w:r>
      <w:r>
        <w:t xml:space="preserve">the relationship of the crime to the purposes for requiring a license to engage in the occupation;</w:t>
      </w:r>
    </w:p>
    <w:p w:rsidR="003F3435" w:rsidRDefault="0032493E">
      <w:pPr>
        <w:spacing w:line="480" w:lineRule="auto"/>
        <w:ind w:firstLine="1440"/>
        <w:jc w:val="both"/>
      </w:pPr>
      <w:r>
        <w:t xml:space="preserve">(3)</w:t>
      </w:r>
      <w:r xml:space="preserve">
        <w:t> </w:t>
      </w:r>
      <w:r xml:space="preserve">
        <w:t> </w:t>
      </w:r>
      <w:r>
        <w:t xml:space="preserve">the extent to which a license might offer an opportunity to engage in further criminal activity of the same type as that in which the person previously had been involved;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the relationship of the crime to the ability </w:t>
      </w:r>
      <w:r>
        <w:rPr>
          <w:u w:val="single"/>
        </w:rPr>
        <w:t xml:space="preserve">or</w:t>
      </w:r>
      <w:r>
        <w:t xml:space="preserve"> [</w:t>
      </w:r>
      <w:r>
        <w:rPr>
          <w:strike/>
        </w:rPr>
        <w:t xml:space="preserve">,</w:t>
      </w:r>
      <w:r>
        <w:t xml:space="preserve">] capacity [</w:t>
      </w:r>
      <w:r>
        <w:rPr>
          <w:strike/>
        </w:rPr>
        <w:t xml:space="preserve">, or fitness</w:t>
      </w:r>
      <w:r>
        <w:t xml:space="preserve">] required to perform the duties and discharge the responsibilities of the licensed occupation</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correlation between the elements of the crime and the specific duties and responsibilities of the licensed occupation</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Section 53.023, Occupations Code, is amended to read as follows:</w:t>
      </w:r>
    </w:p>
    <w:p w:rsidR="003F3435" w:rsidRDefault="0032493E">
      <w:pPr>
        <w:spacing w:line="480" w:lineRule="auto"/>
        <w:ind w:firstLine="720"/>
        <w:jc w:val="both"/>
      </w:pPr>
      <w:r>
        <w:t xml:space="preserve">Sec.</w:t>
      </w:r>
      <w:r xml:space="preserve">
        <w:t> </w:t>
      </w:r>
      <w:r>
        <w:t xml:space="preserve">53.023.</w:t>
      </w:r>
      <w:r xml:space="preserve">
        <w:t> </w:t>
      </w:r>
      <w:r xml:space="preserve">
        <w:t> </w:t>
      </w:r>
      <w:r>
        <w:t xml:space="preserve">ADDITIONAL FACTORS FOR LICENSING AUTHORITY TO CONSIDER </w:t>
      </w:r>
      <w:r>
        <w:rPr>
          <w:u w:val="single"/>
        </w:rPr>
        <w:t xml:space="preserve">AFTER DETERMINING CONVICTION DIRECTLY RELATES TO OCCUPATION</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53.023(a) and (b), Occupations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If a licensing authority determines under Section 53.022 that a criminal conviction directly relates to the duties and responsibilities of a licensed occupation,</w:t>
      </w:r>
      <w:r>
        <w:t xml:space="preserve"> [</w:t>
      </w:r>
      <w:r>
        <w:rPr>
          <w:strike/>
        </w:rPr>
        <w:t xml:space="preserve">In determining the fitness to perform the duties and discharge the responsibilities of the licensed occupation of a person who has been convicted of a crime,</w:t>
      </w:r>
      <w:r>
        <w:t xml:space="preserve">] the licensing authority shall consider </w:t>
      </w:r>
      <w:r>
        <w:rPr>
          <w:u w:val="single"/>
        </w:rPr>
        <w:t xml:space="preserve">the following in determining whether to take an action authorized by Section 53.021</w:t>
      </w:r>
      <w:r>
        <w:t xml:space="preserve"> </w:t>
      </w:r>
      <w:r>
        <w:t xml:space="preserve">[</w:t>
      </w:r>
      <w:r>
        <w:rPr>
          <w:strike/>
        </w:rPr>
        <w:t xml:space="preserve">, in addition to the factors listed in Section 53.022</w:t>
      </w:r>
      <w:r>
        <w:t xml:space="preserve">]:</w:t>
      </w:r>
    </w:p>
    <w:p w:rsidR="003F3435" w:rsidRDefault="0032493E">
      <w:pPr>
        <w:spacing w:line="480" w:lineRule="auto"/>
        <w:ind w:firstLine="1440"/>
        <w:jc w:val="both"/>
      </w:pPr>
      <w:r>
        <w:t xml:space="preserve">(1)</w:t>
      </w:r>
      <w:r xml:space="preserve">
        <w:t> </w:t>
      </w:r>
      <w:r xml:space="preserve">
        <w:t> </w:t>
      </w:r>
      <w:r>
        <w:t xml:space="preserve">the extent and nature of the person's past criminal activity;</w:t>
      </w:r>
    </w:p>
    <w:p w:rsidR="003F3435" w:rsidRDefault="0032493E">
      <w:pPr>
        <w:spacing w:line="480" w:lineRule="auto"/>
        <w:ind w:firstLine="1440"/>
        <w:jc w:val="both"/>
      </w:pPr>
      <w:r>
        <w:t xml:space="preserve">(2)</w:t>
      </w:r>
      <w:r xml:space="preserve">
        <w:t> </w:t>
      </w:r>
      <w:r xml:space="preserve">
        <w:t> </w:t>
      </w:r>
      <w:r>
        <w:t xml:space="preserve">the age of the person when the crime was committed;</w:t>
      </w:r>
    </w:p>
    <w:p w:rsidR="003F3435" w:rsidRDefault="0032493E">
      <w:pPr>
        <w:spacing w:line="480" w:lineRule="auto"/>
        <w:ind w:firstLine="1440"/>
        <w:jc w:val="both"/>
      </w:pPr>
      <w:r>
        <w:t xml:space="preserve">(3)</w:t>
      </w:r>
      <w:r xml:space="preserve">
        <w:t> </w:t>
      </w:r>
      <w:r xml:space="preserve">
        <w:t> </w:t>
      </w:r>
      <w:r>
        <w:t xml:space="preserve">the amount of time that has elapsed since the person's last criminal activity;</w:t>
      </w:r>
    </w:p>
    <w:p w:rsidR="003F3435" w:rsidRDefault="0032493E">
      <w:pPr>
        <w:spacing w:line="480" w:lineRule="auto"/>
        <w:ind w:firstLine="1440"/>
        <w:jc w:val="both"/>
      </w:pPr>
      <w:r>
        <w:t xml:space="preserve">(4)</w:t>
      </w:r>
      <w:r xml:space="preserve">
        <w:t> </w:t>
      </w:r>
      <w:r xml:space="preserve">
        <w:t> </w:t>
      </w:r>
      <w:r>
        <w:t xml:space="preserve">the conduct and work activity of the person before and after the criminal activity;</w:t>
      </w:r>
    </w:p>
    <w:p w:rsidR="003F3435" w:rsidRDefault="0032493E">
      <w:pPr>
        <w:spacing w:line="480" w:lineRule="auto"/>
        <w:ind w:firstLine="1440"/>
        <w:jc w:val="both"/>
      </w:pPr>
      <w:r>
        <w:t xml:space="preserve">(5)</w:t>
      </w:r>
      <w:r xml:space="preserve">
        <w:t> </w:t>
      </w:r>
      <w:r xml:space="preserve">
        <w:t> </w:t>
      </w:r>
      <w:r>
        <w:t xml:space="preserve">evidence of the person's rehabilitation or rehabilitative effort while incarcerated or after release;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rPr>
          <w:u w:val="single"/>
        </w:rPr>
        <w:t xml:space="preserve">evidence of the person's compliance with any conditions of community supervision, parole, or mandatory supervision; and</w:t>
      </w:r>
    </w:p>
    <w:p w:rsidR="003F3435" w:rsidRDefault="0032493E">
      <w:pPr>
        <w:spacing w:line="480" w:lineRule="auto"/>
        <w:ind w:firstLine="1440"/>
        <w:jc w:val="both"/>
      </w:pPr>
      <w:r>
        <w:rPr>
          <w:u w:val="single"/>
        </w:rPr>
        <w:t xml:space="preserve">(7)</w:t>
      </w:r>
      <w:r xml:space="preserve">
        <w:t> </w:t>
      </w:r>
      <w:r xml:space="preserve">
        <w:t> </w:t>
      </w:r>
      <w:r>
        <w:t xml:space="preserve">other evidence of the person's fitness, including letters of recommendation [</w:t>
      </w:r>
      <w:r>
        <w:rPr>
          <w:strike/>
        </w:rPr>
        <w:t xml:space="preserve">from:</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prosecutors and law enforcement and correctional officers who prosecuted, arrested, or had custodial responsibility for the person;</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sheriff or chief of police in the community where the person resides; 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any other person in contact with the convicted person</w:t>
      </w:r>
      <w:r>
        <w:t xml:space="preserve">].</w:t>
      </w:r>
    </w:p>
    <w:p w:rsidR="003F3435" w:rsidRDefault="0032493E">
      <w:pPr>
        <w:spacing w:line="480" w:lineRule="auto"/>
        <w:ind w:firstLine="720"/>
        <w:jc w:val="both"/>
      </w:pPr>
      <w:r>
        <w:t xml:space="preserve">(b)</w:t>
      </w:r>
      <w:r xml:space="preserve">
        <w:t> </w:t>
      </w:r>
      <w:r xml:space="preserve">
        <w:t> </w:t>
      </w:r>
      <w:r>
        <w:t xml:space="preserve">The applicant has the responsibility, to the extent possible, to obtain and provide to the licensing authority the recommendations </w:t>
      </w:r>
      <w:r>
        <w:rPr>
          <w:u w:val="single"/>
        </w:rPr>
        <w:t xml:space="preserve">described</w:t>
      </w:r>
      <w:r>
        <w:t xml:space="preserve"> [</w:t>
      </w:r>
      <w:r>
        <w:rPr>
          <w:strike/>
        </w:rPr>
        <w:t xml:space="preserve">of the prosecution, law enforcement, and correctional authorities as required</w:t>
      </w:r>
      <w:r>
        <w:t xml:space="preserve">] by Subsection </w:t>
      </w:r>
      <w:r>
        <w:rPr>
          <w:u w:val="single"/>
        </w:rPr>
        <w:t xml:space="preserve">(a)(7)</w:t>
      </w:r>
      <w:r>
        <w:t xml:space="preserve"> </w:t>
      </w:r>
      <w:r>
        <w:t xml:space="preserve">[</w:t>
      </w:r>
      <w:r>
        <w:rPr>
          <w:strike/>
        </w:rPr>
        <w:t xml:space="preserve">(a)(6)</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B, Chapter 53, Occupations Code, is amended by adding Section 53.0231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53.0231.</w:t>
      </w:r>
      <w:r>
        <w:rPr>
          <w:u w:val="single"/>
        </w:rPr>
        <w:t xml:space="preserve"> </w:t>
      </w:r>
      <w:r>
        <w:rPr>
          <w:u w:val="single"/>
        </w:rPr>
        <w:t xml:space="preserve"> </w:t>
      </w:r>
      <w:r>
        <w:rPr>
          <w:u w:val="single"/>
        </w:rPr>
        <w:t xml:space="preserve">NOTICE OF PENDING DENIAL OF LICENSE.  (a) </w:t>
      </w:r>
      <w:r>
        <w:rPr>
          <w:u w:val="single"/>
        </w:rPr>
        <w:t xml:space="preserve"> </w:t>
      </w:r>
      <w:r>
        <w:rPr>
          <w:u w:val="single"/>
        </w:rPr>
        <w:t xml:space="preserve">Notwithstanding any other law, a licensing authority may not deny a person a license or the opportunity to be examined for a license because of the person's prior conviction of an offense unless the licensing authority: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provides written notice to the person of the reason for the intended denial;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allows the person not less than 30 days to submit any relevant information to the licensing authority.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notice required under Subsection (a) must contain,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statement that the person is disqualified from receiving the license or being examined for the license because of the person's prior conviction of an offense specified in the notice;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statement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final decision of the licensing authority to deny the person a license or the opportunity to be examined for the license will be based on the factors listed in Section 53.023(a);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it is the person's responsibility to obtain and provide to the licensing authority evidence regarding the factors listed in Section 53.023(a).</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53.051, Occupations Code, is amended to read as follows:</w:t>
      </w:r>
    </w:p>
    <w:p w:rsidR="003F3435" w:rsidRDefault="0032493E">
      <w:pPr>
        <w:spacing w:line="480" w:lineRule="auto"/>
        <w:ind w:firstLine="720"/>
        <w:jc w:val="both"/>
      </w:pPr>
      <w:r>
        <w:t xml:space="preserve">Sec.</w:t>
      </w:r>
      <w:r xml:space="preserve">
        <w:t> </w:t>
      </w:r>
      <w:r>
        <w:t xml:space="preserve">53.051.</w:t>
      </w:r>
      <w:r xml:space="preserve">
        <w:t> </w:t>
      </w:r>
      <w:r xml:space="preserve">
        <w:t> </w:t>
      </w:r>
      <w:r>
        <w:t xml:space="preserve">NOTICE.  A licensing authority that suspends or revokes a license or denies a person a license or the opportunity to be examined for a license because of the person's prior conviction of </w:t>
      </w:r>
      <w:r>
        <w:rPr>
          <w:u w:val="single"/>
        </w:rPr>
        <w:t xml:space="preserve">an offense</w:t>
      </w:r>
      <w:r>
        <w:t xml:space="preserve"> [</w:t>
      </w:r>
      <w:r>
        <w:rPr>
          <w:strike/>
        </w:rPr>
        <w:t xml:space="preserve">a crime and the relationship of the crime to the license</w:t>
      </w:r>
      <w:r>
        <w:t xml:space="preserve">] shall notify the person in writing of:</w:t>
      </w:r>
    </w:p>
    <w:p w:rsidR="003F3435" w:rsidRDefault="0032493E">
      <w:pPr>
        <w:spacing w:line="480" w:lineRule="auto"/>
        <w:ind w:firstLine="1440"/>
        <w:jc w:val="both"/>
      </w:pPr>
      <w:r>
        <w:t xml:space="preserve">(1)</w:t>
      </w:r>
      <w:r xml:space="preserve">
        <w:t> </w:t>
      </w:r>
      <w:r xml:space="preserve">
        <w:t> </w:t>
      </w:r>
      <w:r>
        <w:t xml:space="preserve">the reason for the suspension, revocation, denial, or disqualification;</w:t>
      </w:r>
    </w:p>
    <w:p w:rsidR="003F3435" w:rsidRDefault="0032493E">
      <w:pPr>
        <w:spacing w:line="480" w:lineRule="auto"/>
        <w:ind w:firstLine="1440"/>
        <w:jc w:val="both"/>
      </w:pPr>
      <w:r>
        <w:t xml:space="preserve">(2)</w:t>
      </w:r>
      <w:r xml:space="preserve">
        <w:t> </w:t>
      </w:r>
      <w:r xml:space="preserve">
        <w:t> </w:t>
      </w:r>
      <w:r>
        <w:t xml:space="preserve">the review procedure provided by Section 53.052;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the earliest date the person may appeal the action of the licensing authority</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applicable, any remedial actions by the person or relevant circumstances that the licensing authority would consider in determining whether to approve the person's application or allow the person to take the examination in the future</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53.023(c), Occupations Code, is repealed.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changes in law made by this Act apply only to an application for a license submitted on or after the effective date of this Act.  An application for a license submitted before the effective date of this Act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