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86R1716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registration application form distribution information reported through the Public Education Information Management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42.006, Education Code, is amended by adding Subsection (a-7)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report each semester through the Public Education Information Management System information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who are or will be 18 years of age or older during the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officially prescribed voter registration application forms distributed under Section 13.046,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