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530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30,</w:t>
      </w:r>
      <w:r xml:space="preserve">
        <w:t> </w:t>
      </w:r>
      <w:r>
        <w:t xml:space="preserve">2019; February</w:t>
      </w:r>
      <w:r xml:space="preserve">
        <w:t> </w:t>
      </w:r>
      <w:r>
        <w:t xml:space="preserve">21,</w:t>
      </w:r>
      <w:r xml:space="preserve">
        <w:t> </w:t>
      </w:r>
      <w:r>
        <w:t xml:space="preserve">2019, read first time and referred to Committee on Water &amp; Rural Affairs; March</w:t>
      </w:r>
      <w:r xml:space="preserve">
        <w:t> </w:t>
      </w:r>
      <w:r>
        <w:t xml:space="preserve">4,</w:t>
      </w:r>
      <w:r xml:space="preserve">
        <w:t> </w:t>
      </w:r>
      <w:r>
        <w:t xml:space="preserve">2019, rereferred to Committee on Natural Resources &amp; Economic Development; March</w:t>
      </w:r>
      <w:r xml:space="preserve">
        <w:t> </w:t>
      </w:r>
      <w:r>
        <w:t xml:space="preserve">21,</w:t>
      </w:r>
      <w:r xml:space="preserve">
        <w:t> </w:t>
      </w:r>
      <w:r>
        <w:t xml:space="preserve">2019, reported favorably by the following vote:</w:t>
      </w:r>
      <w:r>
        <w:t xml:space="preserve"> </w:t>
      </w:r>
      <w:r>
        <w:t xml:space="preserve"> </w:t>
      </w:r>
      <w:r>
        <w:t xml:space="preserve">Yeas 11, Nays 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civil and administrative penalties assessed or imposed for violations of laws protecting drinking water, public water supplies, and bodies of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341.048(b),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causes, suffers, allows, or permits a violation under this subchapter shall be assessed a civil penalty of not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is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341.049(a),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person causes, suffers, allows, or permits a violation of this subchapter or a rule or order adopted under this subchapter, the commission may assess a penalty against that person as provided by this section. </w:t>
      </w:r>
      <w:r>
        <w:t xml:space="preserve"> </w:t>
      </w:r>
      <w:r>
        <w:t xml:space="preserve">The penalty shall not be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may be considered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Section 341.048(b), Health and Safety Code, as amended by this Act, applies to an action brought on or after the effective date of this Act, regardless of whether the violation giving rise to that action occurred on, before, or after that date.</w:t>
      </w:r>
    </w:p>
    <w:p w:rsidR="003F3435" w:rsidRDefault="0032493E">
      <w:pPr>
        <w:spacing w:line="480" w:lineRule="auto"/>
        <w:ind w:firstLine="720"/>
        <w:jc w:val="both"/>
      </w:pPr>
      <w:r>
        <w:t xml:space="preserve">(b)</w:t>
      </w:r>
      <w:r xml:space="preserve">
        <w:t> </w:t>
      </w:r>
      <w:r xml:space="preserve">
        <w:t> </w:t>
      </w:r>
      <w:r>
        <w:t xml:space="preserve">Section 341.049(a), Health and Safety Code, as amended by this Act, applies only to a violation that occurs on or after the effective date of this Act.  A violation that occurs before the effective date of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