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86R23775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531</w:t>
      </w:r>
    </w:p>
    <w:p w:rsidR="003F3435" w:rsidRDefault="0032493E">
      <w:pPr>
        <w:ind w:firstLine="720"/>
        <w:jc w:val="both"/>
      </w:pPr>
      <w:r>
        <w:t xml:space="preserve">(Lozano)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531:</w:t>
      </w: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C.S.S.B.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sources of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