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534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notice of a hearing to adopt a proposed rule under the Texas Clean Air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382.017(b), Health and Safety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The commission shall provide notice of a hearing to adopt a proposed rule under this chapter on the commission's Internet website, and may provide notice of the hearing by other means, including by electronic transmission or newspaper publication.  Notice of a scheduled hearing under this subsection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date, time, place, and purpose of the hearing for the proposed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provided not later than the 20th day before the date scheduled for the hearing.</w:t>
      </w:r>
      <w:r>
        <w:t xml:space="preserve"> [</w:t>
      </w:r>
      <w:r>
        <w:rPr>
          <w:strike/>
        </w:rPr>
        <w:t xml:space="preserve">If the rule will have statewide effect, notice of the date, time, place, and purpose of the hearing shall be published one time at least 20 days before the scheduled date of the hearing in at least three newspapers, the combined circulation of which will, in the commission's judgment, give reasonable circulation throughout the state.  If the rule will have effect in only a part of the state, the notice shall be published one time at least 20 days before the scheduled date of the hearing in a newspaper of general circulation in the area to be affected.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hearing to adopt a proposed rule that is scheduled by the Texas Commission on Environmental Quality to occur on or after September 21, 2019.  A hearing to adopt a proposed rule that is scheduled by the Texas Commission on Environmental Quality to occur before September 21, 2019, is governed by the law in effect at the time the hearing was scheduled to occur,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