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Birdwell, Hall</w:t>
      </w:r>
      <w:r xml:space="preserve">
        <w:tab wTab="150" tlc="none" cTlc="0"/>
      </w:r>
      <w:r>
        <w:t xml:space="preserve">S.B.</w:t>
      </w:r>
      <w:r xml:space="preserve">
        <w:t> </w:t>
      </w:r>
      <w:r>
        <w:t xml:space="preserve">No.</w:t>
      </w:r>
      <w:r xml:space="preserve">
        <w:t> </w:t>
      </w:r>
      <w:r>
        <w:t xml:space="preserve">535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a handgun by a license holder on the premises of certain places of religious worship.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46.035(b) and (i), Penal Code, are amended to read as follows:</w:t>
      </w:r>
    </w:p>
    <w:p w:rsidR="003F3435" w:rsidRDefault="0032493E">
      <w:pPr>
        <w:spacing w:line="480" w:lineRule="auto"/>
        <w:ind w:firstLine="720"/>
        <w:jc w:val="both"/>
      </w:pPr>
      <w:r>
        <w:t xml:space="preserve">(b)</w:t>
      </w:r>
      <w:r xml:space="preserve">
        <w:t> </w:t>
      </w:r>
      <w:r xml:space="preserve">
        <w:t> </w:t>
      </w:r>
      <w:r>
        <w:t xml:space="preserve">A license holder commits an offense if the license holder intentionally, knowingly, or recklessly carries a handgun under the authority of Subchapter H, Chapter 411, Government Code, regardless of whether the handgun is concealed or carried in a shoulder or belt holster, on or about the license holder's person:</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license holder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license holder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on the premises of a church, synagogue, or other established place of religious worship; or</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on the premises of a civil commitment facility.</w:t>
      </w:r>
    </w:p>
    <w:p w:rsidR="003F3435" w:rsidRDefault="0032493E">
      <w:pPr>
        <w:spacing w:line="480" w:lineRule="auto"/>
        <w:ind w:firstLine="720"/>
        <w:jc w:val="both"/>
      </w:pPr>
      <w:r>
        <w:t xml:space="preserve">(i)</w:t>
      </w:r>
      <w:r xml:space="preserve">
        <w:t> </w:t>
      </w:r>
      <w:r xml:space="preserve">
        <w:t> </w:t>
      </w:r>
      <w:r>
        <w:t xml:space="preserve">Subsections (b)(4), (b)(5), [</w:t>
      </w:r>
      <w:r>
        <w:rPr>
          <w:strike/>
        </w:rPr>
        <w:t xml:space="preserve">(b)(6),</w:t>
      </w:r>
      <w:r>
        <w:t xml:space="preserve">] and (c) do not apply if the actor was not given effective notice under Section 30.06 or 30.07.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46.035(h-1), Penal Code, as added by Chapter 1222 (H.B. 2300), Acts of the 80th Legislature, Regular Session, 2007, is amended to read as follows:</w:t>
      </w:r>
    </w:p>
    <w:p w:rsidR="003F3435" w:rsidRDefault="0032493E">
      <w:pPr>
        <w:spacing w:line="480" w:lineRule="auto"/>
        <w:ind w:firstLine="720"/>
        <w:jc w:val="both"/>
      </w:pPr>
      <w:r>
        <w:t xml:space="preserve">(h-1)</w:t>
      </w:r>
      <w:r xml:space="preserve">
        <w:t> </w:t>
      </w:r>
      <w:r xml:space="preserve">
        <w:t> </w:t>
      </w:r>
      <w:r>
        <w:t xml:space="preserve">It is a defense to prosecution under Subsections (b)(1), (2), (4), </w:t>
      </w:r>
      <w:r>
        <w:rPr>
          <w:u w:val="single"/>
        </w:rPr>
        <w:t xml:space="preserve">and</w:t>
      </w:r>
      <w:r>
        <w:t xml:space="preserve"> (5)[</w:t>
      </w:r>
      <w:r>
        <w:rPr>
          <w:strike/>
        </w:rPr>
        <w:t xml:space="preserve">, and (6)</w:t>
      </w:r>
      <w:r>
        <w:t xml:space="preserve">] and (c) that at the time of the commission of the offense, the actor was:</w:t>
      </w:r>
    </w:p>
    <w:p w:rsidR="003F3435" w:rsidRDefault="0032493E">
      <w:pPr>
        <w:spacing w:line="480" w:lineRule="auto"/>
        <w:ind w:firstLine="1440"/>
        <w:jc w:val="both"/>
      </w:pPr>
      <w:r>
        <w:t xml:space="preserve">(1)</w:t>
      </w:r>
      <w:r xml:space="preserve">
        <w:t> </w:t>
      </w:r>
      <w:r xml:space="preserve">
        <w:t> </w:t>
      </w:r>
      <w:r>
        <w:t xml:space="preserve">a judge or justice of a federal court;</w:t>
      </w:r>
    </w:p>
    <w:p w:rsidR="003F3435" w:rsidRDefault="0032493E">
      <w:pPr>
        <w:spacing w:line="480" w:lineRule="auto"/>
        <w:ind w:firstLine="1440"/>
        <w:jc w:val="both"/>
      </w:pPr>
      <w:r>
        <w:t xml:space="preserve">(2)</w:t>
      </w:r>
      <w:r xml:space="preserve">
        <w:t> </w:t>
      </w:r>
      <w:r xml:space="preserve">
        <w:t> </w:t>
      </w:r>
      <w:r>
        <w:t xml:space="preserve">an active judicial officer, as defined by Section 411.201, Government Code; or</w:t>
      </w:r>
    </w:p>
    <w:p w:rsidR="003F3435" w:rsidRDefault="0032493E">
      <w:pPr>
        <w:spacing w:line="480" w:lineRule="auto"/>
        <w:ind w:firstLine="1440"/>
        <w:jc w:val="both"/>
      </w:pPr>
      <w:r>
        <w:t xml:space="preserve">(3)</w:t>
      </w:r>
      <w:r xml:space="preserve">
        <w:t> </w:t>
      </w:r>
      <w:r xml:space="preserve">
        <w:t> </w:t>
      </w:r>
      <w:r>
        <w:t xml:space="preserve">the attorney general or a United States attorney, assistant United States attorney, assistant attorney general, district attorney, assistant district attorney, criminal district attorney, assistant criminal district attorney, county attorney, or assistant county attorney.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