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a license holder on the premises of certain places of religious worship.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46.035(b) and (i), Penal Code, are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on the premises of a church, synagogue, or other established place of religious worship;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on the premises of a civil commitment facility.</w:t>
      </w:r>
    </w:p>
    <w:p w:rsidR="003F3435" w:rsidRDefault="0032493E">
      <w:pPr>
        <w:spacing w:line="480" w:lineRule="auto"/>
        <w:ind w:firstLine="720"/>
        <w:jc w:val="both"/>
      </w:pPr>
      <w:r>
        <w:t xml:space="preserve">(i)</w:t>
      </w:r>
      <w:r xml:space="preserve">
        <w:t> </w:t>
      </w:r>
      <w:r xml:space="preserve">
        <w:t> </w:t>
      </w:r>
      <w:r>
        <w:t xml:space="preserve">Subsections (b)(4), (b)(5), [</w:t>
      </w:r>
      <w:r>
        <w:rPr>
          <w:strike/>
        </w:rPr>
        <w:t xml:space="preserve">(b)(6),</w:t>
      </w:r>
      <w:r>
        <w:t xml:space="preserve">] and (c) do not apply if the actor was not given effective notice under Section 30.06 or 30.07.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46.035(h-1), Penal Code, as added by Chapter 1222 (H.B. 2300),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(b)(1), (2), (4), </w:t>
      </w:r>
      <w:r>
        <w:rPr>
          <w:u w:val="single"/>
        </w:rPr>
        <w:t xml:space="preserve">and</w:t>
      </w:r>
      <w:r>
        <w:t xml:space="preserve"> (5)[</w:t>
      </w:r>
      <w:r>
        <w:rPr>
          <w:strike/>
        </w:rPr>
        <w:t xml:space="preserve">, and (6)</w:t>
      </w:r>
      <w:r>
        <w:t xml:space="preserve">] and (c) that at the time of the commission of the offense, the actor was:</w:t>
      </w:r>
    </w:p>
    <w:p w:rsidR="003F3435" w:rsidRDefault="0032493E">
      <w:pPr>
        <w:spacing w:line="480" w:lineRule="auto"/>
        <w:ind w:firstLine="1440"/>
        <w:jc w:val="both"/>
      </w:pPr>
      <w:r>
        <w:t xml:space="preserve">(1)</w:t>
      </w:r>
      <w:r xml:space="preserve">
        <w:t> </w:t>
      </w:r>
      <w:r xml:space="preserve">
        <w:t> </w:t>
      </w:r>
      <w:r>
        <w:t xml:space="preserve">a judge or justice of a federal court;</w:t>
      </w:r>
    </w:p>
    <w:p w:rsidR="003F3435" w:rsidRDefault="0032493E">
      <w:pPr>
        <w:spacing w:line="480" w:lineRule="auto"/>
        <w:ind w:firstLine="1440"/>
        <w:jc w:val="both"/>
      </w:pPr>
      <w:r>
        <w:t xml:space="preserve">(2)</w:t>
      </w:r>
      <w:r xml:space="preserve">
        <w:t> </w:t>
      </w:r>
      <w:r xml:space="preserve">
        <w:t> </w:t>
      </w:r>
      <w:r>
        <w:t xml:space="preserve">an active judicial officer, as defined by Section 411.201, Government Code; or</w:t>
      </w:r>
    </w:p>
    <w:p w:rsidR="003F3435" w:rsidRDefault="0032493E">
      <w:pPr>
        <w:spacing w:line="480" w:lineRule="auto"/>
        <w:ind w:firstLine="1440"/>
        <w:jc w:val="both"/>
      </w:pPr>
      <w:r>
        <w:t xml:space="preserve">(3)</w:t>
      </w:r>
      <w:r xml:space="preserve">
        <w:t> </w:t>
      </w:r>
      <w:r xml:space="preserve">
        <w:t> </w:t>
      </w:r>
      <w: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535 passed the Senate on May</w:t>
      </w:r>
      <w:r xml:space="preserve">
        <w:t> </w:t>
      </w:r>
      <w:r>
        <w:t xml:space="preserve">1,</w:t>
      </w:r>
      <w:r xml:space="preserve">
        <w:t> </w:t>
      </w:r>
      <w:r>
        <w:t xml:space="preserve">2019, by the following vote:</w:t>
      </w:r>
      <w:r xml:space="preserve">
        <w:t> </w:t>
      </w:r>
      <w:r xml:space="preserve">
        <w:t> </w:t>
      </w:r>
      <w:r>
        <w:t xml:space="preserve">Yeas</w:t>
      </w:r>
      <w:r xml:space="preserve">
        <w:t> </w:t>
      </w:r>
      <w:r>
        <w:t xml:space="preserve">23, Nays</w:t>
      </w:r>
      <w:r xml:space="preserve">
        <w:t> </w:t>
      </w:r>
      <w:r>
        <w:t xml:space="preserve">8.</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535 passed the House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86, Nays</w:t>
      </w:r>
      <w:r xml:space="preserve">
        <w:t> </w:t>
      </w:r>
      <w:r>
        <w:t xml:space="preserve">53,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