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w:t>
      </w:r>
      <w:r>
        <w:rPr>
          <w:u w:val="single"/>
        </w:rPr>
        <w:t xml:space="preserve"> </w:t>
      </w:r>
      <w:r>
        <w:rPr>
          <w:u w:val="single"/>
        </w:rPr>
        <w:t xml:space="preserve"> </w:t>
      </w:r>
      <w:r>
        <w:rPr>
          <w:u w:val="single"/>
        </w:rPr>
        <w:t xml:space="preserve">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in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under Subsection (a) that the courts described by that subsection require the appointment of an associate judge, the presiding judge shall appoint an associate judge from a list of applicants who submitted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who will make the appointment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who intends to make the reappointment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is appointed to serve the courts to which this subchapter applies in the administrative judicial region the appointing presiding judge serves that are specified by that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w:t>
      </w:r>
      <w:r>
        <w:rPr>
          <w:u w:val="single"/>
        </w:rPr>
        <w:t xml:space="preserve"> </w:t>
      </w:r>
      <w:r>
        <w:rPr>
          <w:u w:val="single"/>
        </w:rPr>
        <w:t xml:space="preserve"> </w:t>
      </w:r>
      <w:r>
        <w:rPr>
          <w:u w:val="single"/>
        </w:rPr>
        <w:t xml:space="preserve">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w:t>
      </w:r>
      <w:r>
        <w:rPr>
          <w:u w:val="single"/>
        </w:rPr>
        <w:t xml:space="preserve">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w:t>
      </w:r>
      <w:r>
        <w:rPr>
          <w:u w:val="single"/>
        </w:rPr>
        <w:t xml:space="preserve"> </w:t>
      </w:r>
      <w:r>
        <w:rPr>
          <w:u w:val="single"/>
        </w:rPr>
        <w:t xml:space="preserve"> </w:t>
      </w:r>
      <w:r>
        <w:rPr>
          <w:u w:val="single"/>
        </w:rPr>
        <w:t xml:space="preserve">An associate judge appointed under this subchapter is entitled to a salary that is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w:t>
      </w:r>
      <w:r>
        <w:rPr>
          <w:u w:val="single"/>
        </w:rPr>
        <w:t xml:space="preserve"> </w:t>
      </w:r>
      <w:r>
        <w:rPr>
          <w:u w:val="single"/>
        </w:rPr>
        <w:t xml:space="preserve"> </w:t>
      </w:r>
      <w:r>
        <w:rPr>
          <w:u w:val="single"/>
        </w:rPr>
        <w:t xml:space="preserve">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under this subchapter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under this subchapter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w:t>
      </w:r>
      <w:r>
        <w:rPr>
          <w:u w:val="single"/>
        </w:rPr>
        <w:t xml:space="preserve"> </w:t>
      </w:r>
      <w:r>
        <w:rPr>
          <w:u w:val="single"/>
        </w:rPr>
        <w:t xml:space="preserve"> </w:t>
      </w:r>
      <w:r>
        <w:rPr>
          <w:u w:val="single"/>
        </w:rPr>
        <w:t xml:space="preserve">On the motion of a party or the associate judge, an associate judge may refer a complex guardianship proceeding back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w:t>
      </w:r>
      <w:r>
        <w:rPr>
          <w:u w:val="single"/>
        </w:rPr>
        <w:t xml:space="preserve"> </w:t>
      </w:r>
      <w:r>
        <w:rPr>
          <w:u w:val="single"/>
        </w:rPr>
        <w:t xml:space="preserve"> </w:t>
      </w:r>
      <w:r>
        <w:rPr>
          <w:u w:val="single"/>
        </w:rPr>
        <w:t xml:space="preserve">The appointing presiding judge of an administrative judicial region or appointing presiding judges of the administrative judicial regions, by majority vote, as applicable, may appoint personnel as needed to assist an associate judge in implementing and administering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w:t>
      </w:r>
      <w:r>
        <w:rPr>
          <w:u w:val="single"/>
        </w:rPr>
        <w:t xml:space="preserve">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STATE AND FEDERAL MONEY; OTHER PERSONNEL.  (a)</w:t>
      </w:r>
      <w:r>
        <w:rPr>
          <w:u w:val="single"/>
        </w:rPr>
        <w:t xml:space="preserve">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appointed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w:t>
      </w:r>
      <w:r>
        <w:rPr>
          <w:u w:val="single"/>
        </w:rPr>
        <w:t xml:space="preserve">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as an associate judge under this subchapter, a district judge, a statutory county court judge, or a statutory probate judge for at least two years before the date of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serving under a regular appointment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to be determined by a majority vote of the presiding judges of the administrative judicial regions, through use of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536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536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