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5, Nays 2;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542</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w:t>
      </w:r>
      <w:r>
        <w:rPr>
          <w:strike/>
        </w:rPr>
        <w:t xml:space="preserve">only</w:t>
      </w:r>
      <w:r>
        <w:t xml:space="preserv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developments are or will be located more than two linear miles apart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conditions are met: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of the developments will be located wholly within a census tract: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has a poverty rate above 15 percent;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which the median value of owner-occupied homes has increased by 15 percent or more within the five years preceding the date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for the development: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obtained prior approval of the development from the governing body of the appropriate municipality or county containing the development;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included in the application a written statement of support from that governing body referencing this section and authorizing an allocation of housing tax credits for the development</w:t>
      </w:r>
      <w:r>
        <w:t xml:space="preserve">. </w:t>
      </w:r>
      <w:r>
        <w:t xml:space="preserve"> </w:t>
      </w:r>
      <w:r>
        <w:t xml:space="preserve">[</w:t>
      </w:r>
      <w:r>
        <w:rPr>
          <w:strike/>
        </w:rPr>
        <w:t xml:space="preserve">This subsection applies only to communities contained within counties with populations exceeding one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