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86R6367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543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allocation of low income housing tax credits to certain applicants.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DD, Chapter 2306, Government Code, is amended by adding Section 2306.67031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2306.67031.</w:t>
      </w:r>
      <w:r>
        <w:rPr>
          <w:u w:val="single"/>
        </w:rPr>
        <w:t xml:space="preserve"> </w:t>
      </w:r>
      <w:r>
        <w:rPr>
          <w:u w:val="single"/>
        </w:rPr>
        <w:t xml:space="preserve"> </w:t>
      </w:r>
      <w:r>
        <w:rPr>
          <w:u w:val="single"/>
        </w:rPr>
        <w:t xml:space="preserve">RESTRICTION ON ALLOCATION OF HOUSING TAX CREDITS TO CERTAIN DEVELOPMENTS.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"Extended use period" has the meaning assigned by Section 42(h)(6)(D), Internal Revenue Code of 1986.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 contract" has the meaning assigned by Section 42(h)(6)(F), Internal Revenue Code of 1986.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allocate housing tax credits to a development proposed by an applicant who owns one or more existing developments supported by housing tax credits under this subchapter unless the applicant agrees, as part of any conditions imposed by the department in connection with the allocation of housing tax credits for the proposed development, to waive the applicant's right to sell any existing developments through the use of a qualified contract during the extended use period.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under Section 2306.67022, Government Code.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