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Johnson</w:t>
      </w:r>
      <w:r xml:space="preserve">
        <w:tab wTab="150" tlc="none" cTlc="0"/>
      </w:r>
      <w:r>
        <w:t xml:space="preserve">S.B.</w:t>
      </w:r>
      <w:r xml:space="preserve">
        <w:t> </w:t>
      </w:r>
      <w:r>
        <w:t xml:space="preserve">No.</w:t>
      </w:r>
      <w:r xml:space="preserve">
        <w:t> </w:t>
      </w:r>
      <w:r>
        <w:t xml:space="preserve">550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E-1, Chapter 411, Government Code, is amended by adding Section 411.0732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411.0732.</w:t>
      </w:r>
      <w:r>
        <w:rPr>
          <w:u w:val="single"/>
        </w:rPr>
        <w:t xml:space="preserve"> </w:t>
      </w:r>
      <w:r>
        <w:rPr>
          <w:u w:val="single"/>
        </w:rPr>
        <w:t xml:space="preserve"> </w:t>
      </w:r>
      <w:r>
        <w:rPr>
          <w:u w:val="single"/>
        </w:rPr>
        <w:t xml:space="preserve">PROCEDURE FOR COMMUNITY SUPERVISION FOLLOWING CONVICTION; SET-ASIDE CONVICTIONS.  (a)</w:t>
      </w:r>
      <w:r>
        <w:rPr>
          <w:u w:val="single"/>
        </w:rPr>
        <w:t xml:space="preserve"> </w:t>
      </w:r>
      <w:r>
        <w:rPr>
          <w:u w:val="single"/>
        </w:rPr>
        <w:t xml:space="preserve"> </w:t>
      </w:r>
      <w:r>
        <w:rPr>
          <w:u w:val="single"/>
        </w:rPr>
        <w:t xml:space="preserve">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conviction is placed on community supervision under Chapter 42A, Code of Criminal Procedure, and with respect to whom the conviction is subsequently set aside by the court under Article 42A.701(f)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convicted of an offense for which the person would be ineligible for deferred adjudication community supervision under Article 42A.102(b),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satisfies the requirements of Section 411.074 may petition the court that placed the person on community supervision for an order of nondisclosure of criminal history record information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to the state, an opportunity for a hearing, and a determination that the person is entitled to file the petition and that issuance of the order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petition the court that placed the person on community supervision for an order of nondisclosure of criminal history record information under this section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anniversary of the date the conviction is set aside, if the offense for which the person was placed on community supervision was a misdemeanor;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anniversary of the date the conviction is set aside, if the offense for which the person was placed on community supervision was a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