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553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certain real property in conjunction with the acquisition of real property for a public use through eminent domain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402.031,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statement must disclose that a condemning entity, other than an entity acquiring property as authorized under Subchapter D, Chapter 203, Transportation Code, that makes an initial offer under Section 21.0113, Property Code,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 21.0114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OFFER TO ACQUIRE ADDITIONAL PROPERTY; EXCEPTION.  (a)</w:t>
      </w:r>
      <w:r>
        <w:rPr>
          <w:u w:val="single"/>
        </w:rPr>
        <w:t xml:space="preserve"> </w:t>
      </w:r>
      <w:r>
        <w:rPr>
          <w:u w:val="single"/>
        </w:rPr>
        <w:t xml:space="preserve"> </w:t>
      </w:r>
      <w:r>
        <w:rPr>
          <w:u w:val="single"/>
        </w:rPr>
        <w:t xml:space="preserve">Except as provided by Subsection (b), a condemning entity that makes an initial offer under Section 21.0113 that includes real property that the entity does not seek to acquire by condemnation shall in the initial offer: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the real property that the entity does not seek to acquire by condemnation;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an offer for the real property that the entity does not seek to acquire by condemnation separate from the offer made for the real property sought to be acquired by condemnation.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an acquisition of real property under Subchapter D, Chapter 203, Transportation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