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555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qualification of land for appraisal for ad valorem tax purposes as agricultural land and the liability for the additional tax imposed on such land if the use of the land changes as a result of a condemnation.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23.46, Tax Code, is amended by adding Subsections (e-1) and (g)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portion of a parcel of land is not diverted to nonagricultural use for purposes of Subsection (c) because the portion is subject to a right-of-way that is less than 200 feet wide and that was taken by condemnation if the remainder of the parcel of land qualifies for appraisal under this subchapter.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additional taxes are due because the land has been diverted to a nonagricultural use as a result of a condemnation, the additional taxes and interest imposed by this section are the personal obligation of the condemning entity and not the property owner from whom the property was taken.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 23.46(e-1), Tax Code, as added by this Act, applies only to the appraisal of land for ad valorem tax purposes for a tax year that begins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23.46(g), Tax Code, as added by this Act, applies only to a change of use of land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