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central database containing information about defendants required to have an ignition interlock device installed on a motor vehicle and submission of information to and access to information in that database.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that restricts a defendant to the operation of a motor vehicle equipped with an ignition interlock device under Subsection (a) shall submit the name of the defendant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that restricts a defendant to the operation of a motor vehicle equipped with an ignition interlock device under this article shall submit the name of the defendant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411, Government Code, is amended by adding Section 411.02091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411.02091.</w:t>
      </w:r>
      <w:r>
        <w:rPr>
          <w:u w:val="single"/>
        </w:rPr>
        <w:t xml:space="preserve"> </w:t>
      </w:r>
      <w:r>
        <w:rPr>
          <w:u w:val="single"/>
        </w:rPr>
        <w:t xml:space="preserve"> </w:t>
      </w:r>
      <w:r>
        <w:rPr>
          <w:u w:val="single"/>
        </w:rPr>
        <w:t xml:space="preserve">CENTRAL DATABASE OF DEFENDANTS RESTRICTED TO USE OF MOTOR VEHICLE EQUIPPED WITH IGNITION INTERLOCK DEVICE.  (a)  The department shall maintain a computerized central database containing information regarding defendants who are restricted to the use of a motor vehicle equipped with an ignition interlock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defendant restricted to the operation of a motor vehicle equipped with an ignition interlock device under Article 17.441 or 42A.408, Code of Criminal Procedure, Section 49.09(h), Penal Code, or Section 521.246, Transportation Code, and the date each restriction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provided to the department by a vendor of an ignition interlock device under Section 521.2476, Transportation Code, for each defendant described by Subdivision (1) for whom the vendor has installed an ignition interlock device on the appropriate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remove a defendant's name from the central database on the expiration of the ignition interlock restriction for that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central database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information in a format that allows a law enforcement agency to make the information available to a peace officer through a mobile data terminal;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reflect any updated information as necessary to ensure a defendant whose ignition interlock restriction has expired is not indicated through the mobile data terminal as a person who is restricted to the operation of a motor vehicle equipped with an ignition interlock device.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49.09(h), Penal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 </w:t>
      </w:r>
      <w:r>
        <w:t xml:space="preserve"> </w:t>
      </w:r>
      <w:r>
        <w:t xml:space="preserve">The court shall enter an order that requires the defendant to have </w:t>
      </w:r>
      <w:r>
        <w:rPr>
          <w:u w:val="single"/>
        </w:rPr>
        <w:t xml:space="preserve">an ignition interlock</w:t>
      </w:r>
      <w:r>
        <w:t xml:space="preserve"> [</w:t>
      </w:r>
      <w:r>
        <w:rPr>
          <w:strike/>
        </w:rPr>
        <w:t xml:space="preserve">a</w:t>
      </w:r>
      <w:r>
        <w:t xml:space="preserve">]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521.344, Transportation Code, the defendant not operate any motor vehicle that is not equipped with </w:t>
      </w:r>
      <w:r>
        <w:rPr>
          <w:u w:val="single"/>
        </w:rPr>
        <w:t xml:space="preserve">an ignition interlock</w:t>
      </w:r>
      <w:r>
        <w:t xml:space="preserve"> [</w:t>
      </w:r>
      <w:r>
        <w:rPr>
          <w:strike/>
        </w:rPr>
        <w:t xml:space="preserve">that</w:t>
      </w:r>
      <w:r>
        <w:t xml:space="preserve">] device.  The court shall require the defendant to obtain the </w:t>
      </w:r>
      <w:r>
        <w:rPr>
          <w:u w:val="single"/>
        </w:rPr>
        <w:t xml:space="preserve">ignition interlock</w:t>
      </w:r>
      <w:r>
        <w:t xml:space="preserve"> device at the defendant's own cost on or before that ending date, require the defendant to provide evidence to the court on or before that ending date that the </w:t>
      </w:r>
      <w:r>
        <w:rPr>
          <w:u w:val="single"/>
        </w:rPr>
        <w:t xml:space="preserve">ignition interlock</w:t>
      </w:r>
      <w:r>
        <w:t xml:space="preserve"> device has been installed on each appropriate vehicle, and order the </w:t>
      </w:r>
      <w:r>
        <w:rPr>
          <w:u w:val="single"/>
        </w:rPr>
        <w:t xml:space="preserve">ignition interlock</w:t>
      </w:r>
      <w:r>
        <w:t xml:space="preserve"> device to remain installed on each vehicle until the first anniversary of that ending date.  If the court determines the offender is unable to pay for the </w:t>
      </w:r>
      <w:r>
        <w:rPr>
          <w:u w:val="single"/>
        </w:rPr>
        <w:t xml:space="preserve">ignition interlock</w:t>
      </w:r>
      <w:r>
        <w:t xml:space="preserve"> device, the court may impose a reasonable payment schedule not to extend beyond the first anniversary of the date of installation.  The Department of Public Safety shall approve </w:t>
      </w:r>
      <w:r>
        <w:rPr>
          <w:u w:val="single"/>
        </w:rPr>
        <w:t xml:space="preserve">ignition interlock</w:t>
      </w:r>
      <w:r>
        <w:t xml:space="preserve"> devices for use under this subsection.  Section 521.247, Transportation Code, applies to the approval of </w:t>
      </w:r>
      <w:r>
        <w:rPr>
          <w:u w:val="single"/>
        </w:rPr>
        <w:t xml:space="preserve">an ignition interlock</w:t>
      </w:r>
      <w:r>
        <w:t xml:space="preserve"> [</w:t>
      </w:r>
      <w:r>
        <w:rPr>
          <w:strike/>
        </w:rPr>
        <w:t xml:space="preserve">a</w:t>
      </w:r>
      <w:r>
        <w:t xml:space="preserve">] device under this subsection and the consequences of that approval. </w:t>
      </w:r>
      <w:r>
        <w:t xml:space="preserve"> </w:t>
      </w:r>
      <w:r>
        <w:t xml:space="preserve">Failure to comply with an order entered under this subsection is punishable by contempt.  For the purpose of enforcing this subsection, the court that enters an order under this subsection retains jurisdiction over the defendant until the date on which the </w:t>
      </w:r>
      <w:r>
        <w:rPr>
          <w:u w:val="single"/>
        </w:rPr>
        <w:t xml:space="preserve">ignition interlock</w:t>
      </w:r>
      <w:r>
        <w:t xml:space="preserve"> device is no longer required to remain installed.  </w:t>
      </w:r>
      <w:r>
        <w:rPr>
          <w:u w:val="single"/>
        </w:rPr>
        <w:t xml:space="preserve">A court that restricts a defendant to the operation of a motor vehicle equipped with an ignition interlock device under this subsection shall submit the name of the defendant and the date the restriction expires to the Department of Public Safety for inclusion in the central database maintained by the department under Section 411.02091, Government Code.</w:t>
      </w:r>
      <w:r>
        <w:t xml:space="preserve">  To the extent of a conflict between this subsection and Subchapter I, Chapter 42A, Code of Criminal Procedure, this subsection controls.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521.246,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that restricts a person to the operation of a motor vehicle equipped with an ignition interlock device under Subsection (a) shall submit the name of the person and the date the restriction expires to the Department of Public Safety for inclusion in the central database maintained by the department under Section 411.02091,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521.2476(b),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w:t>
      </w:r>
      <w:r>
        <w:rPr>
          <w:u w:val="single"/>
        </w:rPr>
        <w:t xml:space="preserve">an ignition interlock</w:t>
      </w:r>
      <w:r>
        <w:t xml:space="preserve"> [</w:t>
      </w:r>
      <w:r>
        <w:rPr>
          <w:strike/>
        </w:rPr>
        <w:t xml:space="preserve">a</w:t>
      </w:r>
      <w:r>
        <w:t xml:space="preserve">] device only if the </w:t>
      </w:r>
      <w:r>
        <w:rPr>
          <w:u w:val="single"/>
        </w:rPr>
        <w:t xml:space="preserve">ignition interlock</w:t>
      </w:r>
      <w:r>
        <w:t xml:space="preserv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w:t>
      </w:r>
      <w:r>
        <w:rPr>
          <w:u w:val="single"/>
        </w:rPr>
        <w:t xml:space="preserve">ignition interlock</w:t>
      </w:r>
      <w:r>
        <w:t xml:space="preserve">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w:t>
      </w:r>
      <w:r>
        <w:rPr>
          <w:u w:val="single"/>
        </w:rPr>
        <w:t xml:space="preserve">ignition interlock</w:t>
      </w:r>
      <w:r>
        <w:t xml:space="preserve"> device and activate any anticircumvention feature of the </w:t>
      </w:r>
      <w:r>
        <w:rPr>
          <w:u w:val="single"/>
        </w:rPr>
        <w:t xml:space="preserve">ignition interlock</w:t>
      </w:r>
      <w:r>
        <w:t xml:space="preserve"> device within a reasonable time after the vendor receives notice that installation is ordered by a court;</w:t>
      </w:r>
    </w:p>
    <w:p w:rsidR="003F3435" w:rsidRDefault="0032493E">
      <w:pPr>
        <w:spacing w:line="480" w:lineRule="auto"/>
        <w:ind w:firstLine="1440"/>
        <w:jc w:val="both"/>
      </w:pPr>
      <w:r>
        <w:rPr>
          <w:u w:val="single"/>
        </w:rPr>
        <w:t xml:space="preserve">(4-a) submit to the department for inclusion in the central database maintained by the department under Section 411.02091, Government Code, the make, model, vehicle identification number, and license plate number of the motor vehicle on which the vendor installs the ignition interlock device, and the name of the person who is the subject of the court order requiring installation of the ignition interlock device on the motor vehicle;</w:t>
      </w:r>
    </w:p>
    <w:p w:rsidR="003F3435" w:rsidRDefault="0032493E">
      <w:pPr>
        <w:spacing w:line="480" w:lineRule="auto"/>
        <w:ind w:firstLine="1440"/>
        <w:jc w:val="both"/>
      </w:pPr>
      <w:r>
        <w:t xml:space="preserve">(5)</w:t>
      </w:r>
      <w:r xml:space="preserve">
        <w:t> </w:t>
      </w:r>
      <w:r xml:space="preserve">
        <w:t> </w:t>
      </w:r>
      <w:r>
        <w:t xml:space="preserve">install and inspect the </w:t>
      </w:r>
      <w:r>
        <w:rPr>
          <w:u w:val="single"/>
        </w:rPr>
        <w:t xml:space="preserve">ignition interlock</w:t>
      </w:r>
      <w:r>
        <w:t xml:space="preserv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w:t>
      </w:r>
      <w:r>
        <w:rPr>
          <w:u w:val="single"/>
        </w:rPr>
        <w:t xml:space="preserve">an ignition interlock</w:t>
      </w:r>
      <w:r>
        <w:t xml:space="preserve"> [</w:t>
      </w:r>
      <w:r>
        <w:rPr>
          <w:strike/>
        </w:rPr>
        <w:t xml:space="preserve">a</w:t>
      </w:r>
      <w:r>
        <w:t xml:space="preserve">] device not later than 48 hours after receiving notice of a complaint regarding the operation of the </w:t>
      </w:r>
      <w:r>
        <w:rPr>
          <w:u w:val="single"/>
        </w:rPr>
        <w:t xml:space="preserve">ignition interlock</w:t>
      </w:r>
      <w:r>
        <w:t xml:space="preserv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w:t>
      </w:r>
      <w:r>
        <w:rPr>
          <w:u w:val="single"/>
        </w:rPr>
        <w:t xml:space="preserve">ignition interlock</w:t>
      </w:r>
      <w:r>
        <w:t xml:space="preserve"> device installed by the vendor, including each action taken as a result of an attempt to circumvent the </w:t>
      </w:r>
      <w:r>
        <w:rPr>
          <w:u w:val="single"/>
        </w:rPr>
        <w:t xml:space="preserve">ignition interlock</w:t>
      </w:r>
      <w:r>
        <w:t xml:space="preserv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Department of Public Safety of the State of Texas shall design and implement the central database required by Section 411.02091, Government Code, as added by this Act, not later than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17.441 and 42A.408, Code of Criminal Procedure, Section 49.09, Penal Code, and Section 521.246, Transportation Code, as amended by this Act, apply only to a magistrate, court, or judge that orders that a defendant be restricted to the operation of a motor vehicle equipped with an ignition interlock device on or after January 1, 2020.  A restriction ordered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521.2476, Transportation Code, as amended by this Act, applies only to the installation of an ignition interlock device that occurs on or after January 1, 2020. An installation that occurs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