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563</w:t>
      </w:r>
    </w:p>
    <w:p w:rsidR="003F3435" w:rsidRDefault="0032493E">
      <w:pPr>
        <w:ind w:firstLine="720"/>
        <w:jc w:val="both"/>
      </w:pPr>
      <w:r>
        <w:t xml:space="preserve">(Metcalf)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information about the use of federal money for flood research, planning, and mitigation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Government Code, is amended by adding Chapter 2061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2061.  FLOOD RESEARCH, PLANNING, AND MITIGATION REPORTING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of state government created by the state constitution or a state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uses or disburses federal money for flood research, planning, or mitigation projects shall submit a report on a quarterly basis to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shall include the following information about federal money used or disbursed for flood research, planning, or mitigation projects: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original total of federal money received;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federal money spent or disbursed to date;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receiving the federal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Water Code, is amended by adding Section 16.025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FEDERAL MONEY USED FOR FLOOD RESEARCH, PLANNING, AND MITIGATION PROJECTS.  The board shall maintain and make available on the board's Internet website a publicly accessible database of the information submitted under Section 2061.002,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