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86R2917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of information about the use of federal money for flood research, planning, and mitigation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10, Government Code, is amended by adding Chapter 2061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2061.  FLOOD RESEARCH, PLANNING, AND MITIGATION REPORTING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2061.001.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chapter, "state agency"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department, commission, board, office, or other agency in the executive branch of state government created by the state constitution or a state statute;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general academic teaching institution as defined by Section 61.003,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2061.002.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REQUIRED.  (a) </w:t>
      </w:r>
      <w:r>
        <w:rPr>
          <w:u w:val="single"/>
        </w:rPr>
        <w:t xml:space="preserve"> </w:t>
      </w:r>
      <w:r>
        <w:rPr>
          <w:u w:val="single"/>
        </w:rPr>
        <w:t xml:space="preserve">A state agency that uses or disburses federal money for flood research, planning, or mitigation projects shall submit a report on a quarterly basis to the Texas Water Development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 shall include the following information about federal money used or disbursed for flood research, planning, or mitigation projects: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original total of federal money received;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the federal money spent or disbursed to date;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eligibility requirements for receiving the federal money.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16, Water Code, is amended by adding Section 16.025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16.025.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REPORTING OF FEDERAL MONEY USED FOR FLOOD RESEARCH, PLANNING, AND MITIGATION PROJECTS.  The board shall maintain and make available on the board's Internet website a publicly accessible database of the information submitted under Section 2061.002,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