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86R4361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by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39.402, Utilities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