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increasing a criminal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542.4031, Transportation Code, is amended by amending Subsections (a), (g), and (h)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w:t>
      </w:r>
      <w:r>
        <w:t xml:space="preserve"> [</w:t>
      </w:r>
      <w:r>
        <w:rPr>
          <w:strike/>
        </w:rPr>
        <w:t xml:space="preserve">$30</w:t>
      </w:r>
      <w:r>
        <w:t xml:space="preserve">] as a state traffic fine</w:t>
      </w:r>
      <w:r>
        <w:rPr>
          <w:u w:val="single"/>
        </w:rPr>
        <w:t xml:space="preserve">, if the person enters the plea or is convicted of the offense before 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as a state traffic fine, if the person enters the plea or is convicted of the offense on or after September 1, 2022</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September 1, 2022</w:t>
      </w:r>
      <w:r>
        <w:t xml:space="preserve">, the comptroller shall deposit: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w:t>
      </w:r>
      <w:r>
        <w:t xml:space="preserve"> [</w:t>
      </w:r>
      <w:r>
        <w:rPr>
          <w:strike/>
        </w:rPr>
        <w:t xml:space="preserve">(1) 67</w:t>
      </w:r>
      <w:r>
        <w:t xml:space="preserve">] percent to the credit of the undedicated portion of the general revenue fund;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w:t>
      </w:r>
      <w:r>
        <w:t xml:space="preserve"> [</w:t>
      </w:r>
      <w:r>
        <w:rPr>
          <w:strike/>
        </w:rPr>
        <w:t xml:space="preserve">(2) 33</w:t>
      </w:r>
      <w:r>
        <w:t xml:space="preserve">] percent to the credit of the designated trauma facility and emergency medical services account under Section 780.003, Health and Safety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2022, the comptroller shall deposit 100 percent to the credit of the designated trauma facility and emergency medical services account under Section 780.003, Health and Safety Code</w:t>
      </w:r>
      <w:r>
        <w:t xml:space="preserve">.</w:t>
      </w:r>
    </w:p>
    <w:p w:rsidR="003F3435" w:rsidRDefault="0032493E">
      <w:pPr>
        <w:spacing w:line="480" w:lineRule="auto"/>
        <w:ind w:firstLine="720"/>
        <w:jc w:val="both"/>
      </w:pPr>
      <w:r>
        <w:t xml:space="preserve">(h)</w:t>
      </w:r>
      <w:r xml:space="preserve">
        <w:t> </w:t>
      </w:r>
      <w:r xml:space="preserve">
        <w:t> </w:t>
      </w:r>
      <w:r>
        <w:t xml:space="preserve">Notwithstanding Subsection </w:t>
      </w:r>
      <w:r>
        <w:rPr>
          <w:u w:val="single"/>
        </w:rPr>
        <w:t xml:space="preserve">(g)(1)(A)</w:t>
      </w:r>
      <w:r>
        <w:t xml:space="preserve"> [</w:t>
      </w:r>
      <w:r>
        <w:rPr>
          <w:strike/>
        </w:rPr>
        <w:t xml:space="preserve">(g)(1)</w:t>
      </w:r>
      <w:r>
        <w:t xml:space="preserve">], in any state fiscal year the comptroller shall deposit </w:t>
      </w:r>
      <w:r>
        <w:rPr>
          <w:u w:val="single"/>
        </w:rPr>
        <w:t xml:space="preserve">50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w:t>
      </w:r>
      <w:r>
        <w:rPr>
          <w:u w:val="single"/>
        </w:rPr>
        <w:t xml:space="preserve">(g)(1)(A)</w:t>
      </w:r>
      <w:r>
        <w:t xml:space="preserve"> </w:t>
      </w:r>
      <w:r>
        <w:t xml:space="preserve">[</w:t>
      </w:r>
      <w:r>
        <w:rPr>
          <w:strike/>
        </w:rPr>
        <w:t xml:space="preserve">(g)(1) and Section 780.002(b), Health and Safety Code,</w:t>
      </w:r>
      <w:r>
        <w:t xml:space="preserve">] equals $250 million for that year.  If in any state fiscal year the amount received by the comptroller under </w:t>
      </w:r>
      <w:r>
        <w:rPr>
          <w:u w:val="single"/>
        </w:rPr>
        <w:t xml:space="preserve">Subsection (g)(1)(A)</w:t>
      </w:r>
      <w:r>
        <w:t xml:space="preserve"> [</w:t>
      </w:r>
      <w:r>
        <w:rPr>
          <w:strike/>
        </w:rPr>
        <w:t xml:space="preserve">those laws</w:t>
      </w:r>
      <w:r>
        <w:t xml:space="preserve">] for deposit to the credit of the general revenue fund exceeds $250 million, the comptroller shall deposit the additional amount to the credit of the Texas mobility fund. </w:t>
      </w:r>
      <w:r>
        <w:rPr>
          <w:u w:val="single"/>
        </w:rPr>
        <w:t xml:space="preserve">This subsection expires September 1,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ind w:firstLine="720"/>
        <w:ind w:start="720"/>
        <w:ind w:end="720"/>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