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583</w:t>
      </w:r>
    </w:p>
    <w:p w:rsidR="003F3435" w:rsidRDefault="0032493E">
      <w:pPr>
        <w:ind w:firstLine="720"/>
        <w:jc w:val="both"/>
      </w:pPr>
      <w:r>
        <w:t xml:space="preserve">(Rose)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local public defender's office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u w:val="singl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(f)</w:t>
      </w:r>
      <w:r xml:space="preserve">
        <w:t> </w:t>
      </w:r>
      <w:r xml:space="preserve">
        <w:t> </w:t>
      </w:r>
      <w:r>
        <w:t xml:space="preserve">In a county </w:t>
      </w:r>
      <w:r>
        <w:rPr>
          <w:u w:val="single"/>
        </w:rPr>
        <w:t xml:space="preserve">with</w:t>
      </w:r>
      <w:r>
        <w:t xml:space="preserve"> [</w:t>
      </w:r>
      <w:r>
        <w:rPr>
          <w:strike/>
        </w:rPr>
        <w:t xml:space="preserve">in which</w:t>
      </w:r>
      <w:r>
        <w:t xml:space="preserve">] a public defender's office [</w:t>
      </w:r>
      <w:r>
        <w:rPr>
          <w:strike/>
        </w:rPr>
        <w:t xml:space="preserve">is created or designated under Article 26.044</w:t>
      </w:r>
      <w:r>
        <w:t xml:space="preserve">], the court or the courts' designee shall give priority in appointing that office to represent the defendant </w:t>
      </w:r>
      <w:r>
        <w:rPr>
          <w:u w:val="single"/>
        </w:rPr>
        <w:t xml:space="preserve">in the criminal proceeding, including a proceeding in a capital murder case</w:t>
      </w:r>
      <w:r>
        <w:t xml:space="preserve">. </w:t>
      </w:r>
      <w:r>
        <w:t xml:space="preserve">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makes a finding of good cause on the record for appointing</w:t>
      </w:r>
      <w:r>
        <w:t xml:space="preserve"> [</w:t>
      </w:r>
      <w:r>
        <w:rPr>
          <w:strike/>
        </w:rPr>
        <w:t xml:space="preserve">has reason to appoint</w:t>
      </w:r>
      <w:r>
        <w:t xml:space="preserve">] other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appointment would be contrary to the office's written plan under Article 26.044;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prohibited from accepting the appointment under Article 26.044(j); or</w:t>
      </w:r>
    </w:p>
    <w:p w:rsidR="003F3435" w:rsidRDefault="0032493E">
      <w:pPr>
        <w:spacing w:line="480" w:lineRule="auto"/>
        <w:ind w:firstLine="1440"/>
        <w:jc w:val="both"/>
      </w:pPr>
      <w:r>
        <w:rPr>
          <w:u w:val="single"/>
        </w:rP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