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86R7958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587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collection and reporting of information relating to the investigation and prosecution of sexual assault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411, Government Code, is amended by adding Section 411.0491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411.0491.</w:t>
      </w:r>
      <w:r>
        <w:rPr>
          <w:u w:val="single"/>
        </w:rPr>
        <w:t xml:space="preserve"> </w:t>
      </w:r>
      <w:r>
        <w:rPr>
          <w:u w:val="single"/>
        </w:rPr>
        <w:t xml:space="preserve"> </w:t>
      </w:r>
      <w:r>
        <w:rPr>
          <w:u w:val="single"/>
        </w:rPr>
        <w:t xml:space="preserve">SEXUAL ASSAULT REPORTING. </w:t>
      </w:r>
      <w:r>
        <w:rPr>
          <w:u w:val="single"/>
        </w:rPr>
        <w:t xml:space="preserve"> </w:t>
      </w:r>
      <w:r>
        <w:rPr>
          <w:u w:val="single"/>
        </w:rPr>
        <w:t xml:space="preserve">(a) </w:t>
      </w:r>
      <w:r>
        <w:rPr>
          <w:u w:val="single"/>
        </w:rPr>
        <w:t xml:space="preserve"> </w:t>
      </w:r>
      <w:r>
        <w:rPr>
          <w:u w:val="single"/>
        </w:rPr>
        <w:t xml:space="preserve">The department shall compile and maintain statistical information relating to the commission of an offense under Section 22.011 or 22.021, Penal Code, including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whether a forensic medical examination was performed as described by Article 56.06 or 56.065, Code of Criminal Procedure, and if so, whether: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biological evidence, as defined by Article 38.43, Code of Criminal Procedure, was collected and analyzed in accordance with Subchapters B and B-1, Chapter 420;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DNA profile obtained from the biological evidence was compared to DNA profiles in state databases or the CODIS database under Section 420.043;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arrests made in relation to the offense;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results of any prosecution of the offense, or, if the offense was not prosecuted, the reasons for not prosecuting the offense;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classification assigned to the case by the law enforcement agency at the time the case was closed, and, if the case was classified as cleared by exceptional means, the specific circumstance outside the control of the law enforcement agency that prevented the arrest, charging, or prosecution of the offender.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by rule shall identify the governmental entities that possess information required by Subsection (a).  A governmental entity identified by the department under this subsection shall report the information to the department in the manner prescribed by the department.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identify governmental entities required to report under Subsection (b) that fail to timely report or that report incomplete information to the department.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February 15 of each year, the department shall submit to the legislature and post on the department's Internet website a report of the statistical information described in Subsection (a) that was compiled for the preceding calendar year.  The report must include a list of the governmental entities identified by the department under Subsection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may adopt rules as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Notwithstanding Section 411.0491(d), Government Code, as added by this Act, the Department of Public Safety is not required to submit the initial report required by that section covering the 2020 calendar year before February 15,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