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86R4139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audit by the state auditor regarding certain community development block grant disaster recovery program money.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321, Government Code, is amended by adding Section 321.024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321.024.</w:t>
      </w:r>
      <w:r>
        <w:rPr>
          <w:u w:val="single"/>
        </w:rPr>
        <w:t xml:space="preserve"> </w:t>
      </w:r>
      <w:r>
        <w:rPr>
          <w:u w:val="single"/>
        </w:rPr>
        <w:t xml:space="preserve"> </w:t>
      </w:r>
      <w:r>
        <w:rPr>
          <w:u w:val="single"/>
        </w:rPr>
        <w:t xml:space="preserve">ANNUAL AUDIT REGARDING CERTAIN COMMUNITY DEVELOPMENT BLOCK GRANT DISASTER RECOVERY PROGRAM MONEY.  (a) The state auditor shall conduct an audit of the distribution and expenditure of community development block grant disaster recovery program money authorized by the Further Additional Supplemental Appropriations for Disaster Relief Requirements Act, 2018 (Subdivision 1 of Division B of Pub. L. No.</w:t>
      </w:r>
      <w:r>
        <w:rPr>
          <w:u w:val="single"/>
        </w:rPr>
        <w:t xml:space="preserve"> </w:t>
      </w:r>
      <w:r>
        <w:rPr>
          <w:u w:val="single"/>
        </w:rPr>
        <w:t xml:space="preserve">115-123), that is received by this state and distributed to a council of government or other political subdivision or another entity.  An audit under this subsection shall be conducted for each state fiscal year in which a distribution described by this subsection is made, including a distribution from a council of government to another entity.  In conducting an audit, the state auditor shall develop an audit plan and establish the scope of the audit and objectives for the audit that are consistent with generally accepted government auditing standards and with other audits conducted by the state auditor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audit conducted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recipient of grant money, including each political subdivision or other person who receives grant money distributed by a council of government;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amount of grant money received by each recipient.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Land Office and a political subdivision receiving the grant money described by Subsection (a) shall cooperate with and provide assistance to the state auditor in conducting an audit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this subsection, a council of government that receives the grant money described by Subsection (a) shall provide to the state auditor all relevant records maintained by the council regarding the distribution and expenditure of the money. </w:t>
      </w:r>
      <w:r>
        <w:rPr>
          <w:u w:val="single"/>
        </w:rPr>
        <w:t xml:space="preserve"> </w:t>
      </w:r>
      <w:r>
        <w:rPr>
          <w:u w:val="single"/>
        </w:rPr>
        <w:t xml:space="preserve">The state auditor is entitled to access to the records of information of the council in the manner provided by this chapter for access to the records of an entity subject to audit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auditor shall prepare a report of an audit conducted under this section not later than December 1 following the end of the state fiscal year in which the audit is completed. </w:t>
      </w:r>
      <w:r>
        <w:rPr>
          <w:u w:val="single"/>
        </w:rPr>
        <w:t xml:space="preserve"> </w:t>
      </w:r>
      <w:r>
        <w:rPr>
          <w:u w:val="single"/>
        </w:rPr>
        <w:t xml:space="preserve">The report must include the information described by Subsection (b). </w:t>
      </w:r>
      <w:r>
        <w:rPr>
          <w:u w:val="single"/>
        </w:rPr>
        <w:t xml:space="preserve"> </w:t>
      </w:r>
      <w:r>
        <w:rPr>
          <w:u w:val="single"/>
        </w:rPr>
        <w:t xml:space="preserve">The state auditor shall file the report with the governor, the lieutenant governor, the speaker of the house of representatives, and each member of the legislature, and the General Land Office shall publish the report on its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state auditor shall conduct an initial audit under Section 321.024, Government Code, as added by this Act, covering the state fiscal year ending August 31, 2019. </w:t>
      </w:r>
      <w:r>
        <w:t xml:space="preserve"> </w:t>
      </w:r>
      <w:r>
        <w:t xml:space="preserve">Notwithstanding the deadline provided by Section 321.024(e), Government Code, as added by this Act, the state auditor may file the report of the initial audit as soon as practicable after the date on which the audit is completed.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