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86R8022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596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protests before appraisal review boards.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appraisal district or the appraisal review board for an appraisal district may not require a property owner to pay a fee in connection with a protest filed by the owner with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41.43,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appraisal district may not offer as evidence in a hearing on a protest brought under Section 41.41(a)(1) or (2) the appraised value of a property comparable to the property that is the subject of the protest if the comparable property is or was the subject of a protest brought under Section 41.41(a)(1) or (2) for that tax year unless the appraisal district at or before the hearing provides to the owner of the property that is the subject of the protest a statement that the comparable property is or was the subject of a protest for that tax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41.47,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 unless agreed to by the parties to the protest.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41.43(e) and 41.47(a-1), Tax Code, as added by this Act, apply only to a protest filed with an appraisal review board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