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imposition by an appraisal district or the appraisal review board for an appraisal district of a fee in connection with a protest filed with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41.41, Tax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appraisal district or the appraisal review board for an appraisal district may not require a property owner to pay a fee in connection with a protest filed by the owner with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