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86R8021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information concerning the value of certain comparable properties in determining the value of property in an ad valorem tax protest.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appraisal district may not offer as evidence in a hearing on a protest brought under Section 41.41(a)(1) or (2) the appraised value of a property comparable to the property that is the subject of the protest if the comparable property is or was the subject of a protest brought under Section 41.41(a)(1) or (2) for that tax year unless the appraisal district at or before the hearing provides to the owner of the property that is the subject of the protest a statement that the comparable property is or was the subject of a protest for that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protest filed with an appraisal review board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