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Lower Colorado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8503, Special District Local Laws Code, is amended by adding Sections 8503.0065, 8503.0105, 8503.0106, 8503.0107, and 8503.0108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8503.0065.</w:t>
      </w:r>
      <w:r>
        <w:rPr>
          <w:u w:val="single"/>
        </w:rPr>
        <w:t xml:space="preserve"> </w:t>
      </w:r>
      <w:r>
        <w:rPr>
          <w:u w:val="single"/>
        </w:rPr>
        <w:t xml:space="preserve"> </w:t>
      </w:r>
      <w:r>
        <w:rPr>
          <w:u w:val="single"/>
        </w:rPr>
        <w:t xml:space="preserve">DIRECTOR TRAINING.  (a)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8503.0105.</w:t>
      </w:r>
      <w:r>
        <w:rPr>
          <w:u w:val="single"/>
        </w:rPr>
        <w:t xml:space="preserve"> </w:t>
      </w:r>
      <w:r>
        <w:rPr>
          <w:u w:val="single"/>
        </w:rPr>
        <w:t xml:space="preserve"> </w:t>
      </w:r>
      <w:r>
        <w:rPr>
          <w:u w:val="single"/>
        </w:rPr>
        <w:t xml:space="preserve">PUBLIC ENGAGEMENT POLICY.  The board shall develop and implement a policy that provides a structure for public engagement in regard to water supply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8503.0106.</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8503.0107.</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In this section, "committee-of-the-whole" means a committee of the board in which every director is a member of the committee, regardless of whether all members are present at a particular meeting of the committee-of-the-whole.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regular meeting of the board and each meeting as a committee-of-the-whole, the board shall include public testimony as a meeting agenda item and allow members of the public to comment on every agenda item and other matters under the jurisdiction of the authority.  The board may not deliberate or decide a matter not included in the meeting agenda except to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8503.0108.</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8503.0065, Special District Local Laws Code, as added by this Act, a person serving on the board of directors of the Lower Colorado River Authority may vote, deliberate, and be counted as a director in attendance at a meeting of the board until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