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86R9810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 et al.</w:t>
      </w:r>
      <w:r xml:space="preserve">
        <w:tab wTab="150" tlc="none" cTlc="0"/>
      </w:r>
      <w:r>
        <w:t xml:space="preserve">S.B.</w:t>
      </w:r>
      <w:r xml:space="preserve">
        <w:t> </w:t>
      </w:r>
      <w:r>
        <w:t xml:space="preserve">No.</w:t>
      </w:r>
      <w:r xml:space="preserve">
        <w:t> </w:t>
      </w:r>
      <w:r>
        <w:t xml:space="preserve">607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operations and functions of the Veterans' Land Board and the sunset review date for and programs administered by the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161.0111, Natural Resources Code, is amended to read as follows:</w:t>
      </w:r>
    </w:p>
    <w:p w:rsidR="003F3435" w:rsidRDefault="0032493E">
      <w:pPr>
        <w:spacing w:line="480" w:lineRule="auto"/>
        <w:ind w:firstLine="720"/>
        <w:jc w:val="both"/>
      </w:pPr>
      <w:r>
        <w:t xml:space="preserve">Sec.</w:t>
      </w:r>
      <w:r xml:space="preserve">
        <w:t> </w:t>
      </w:r>
      <w:r>
        <w:t xml:space="preserve">161.0111.</w:t>
      </w:r>
      <w:r xml:space="preserve">
        <w:t> </w:t>
      </w:r>
      <w:r xml:space="preserve">
        <w:t> </w:t>
      </w:r>
      <w:r>
        <w:t xml:space="preserve">SUNSET PROVISION.  The Veterans' Land Board is subject to review under Chapter 325, Government Code (Texas Sunset Act), but is not abolished under that chapter.  The board shall be reviewed during the period in which state agencies abolished in </w:t>
      </w:r>
      <w:r>
        <w:rPr>
          <w:u w:val="single"/>
        </w:rPr>
        <w:t xml:space="preserve">2031 are reviewed</w:t>
      </w:r>
      <w:r>
        <w:t xml:space="preserve"> [</w:t>
      </w:r>
      <w:r>
        <w:rPr>
          <w:strike/>
        </w:rPr>
        <w:t xml:space="preserve">2019</w:t>
      </w:r>
      <w:r>
        <w:t xml:space="preserve">] and every 12th year after </w:t>
      </w:r>
      <w:r>
        <w:rPr>
          <w:u w:val="single"/>
        </w:rPr>
        <w:t xml:space="preserve">that</w:t>
      </w:r>
      <w:r>
        <w:t xml:space="preserve"> [</w:t>
      </w:r>
      <w:r>
        <w:rPr>
          <w:strike/>
        </w:rPr>
        <w:t xml:space="preserve">2019 are reviewed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161, Natural Resources Code, is amended by adding Section 161.0141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161.0141.</w:t>
      </w:r>
      <w:r>
        <w:rPr>
          <w:u w:val="single"/>
        </w:rPr>
        <w:t xml:space="preserve"> </w:t>
      </w:r>
      <w:r>
        <w:rPr>
          <w:u w:val="single"/>
        </w:rPr>
        <w:t xml:space="preserve"> </w:t>
      </w:r>
      <w:r>
        <w:rPr>
          <w:u w:val="single"/>
        </w:rPr>
        <w:t xml:space="preserve">SEPARATION OF RESPONSIBILITIES. </w:t>
      </w:r>
      <w:r>
        <w:rPr>
          <w:u w:val="single"/>
        </w:rPr>
        <w:t xml:space="preserve"> </w:t>
      </w:r>
      <w:r>
        <w:rPr>
          <w:u w:val="single"/>
        </w:rPr>
        <w:t xml:space="preserve">The board shall develop and implement policies that clearly separate the policy-making responsibilities of the board and the management responsibilities of the executive secretary, assistant executive secretary, and staff of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161.023, Natural Resources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r>
        <w:t xml:space="preserve"> [</w:t>
      </w:r>
      <w:r>
        <w:rPr>
          <w:strike/>
        </w:rPr>
        <w:t xml:space="preserve">the legislation that created the board</w:t>
      </w:r>
      <w:r>
        <w:t xml:space="preserv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disclosure of</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create a training manual that includes the information required by Subsection (b). </w:t>
      </w:r>
      <w:r>
        <w:rPr>
          <w:u w:val="single"/>
        </w:rPr>
        <w:t xml:space="preserve"> </w:t>
      </w:r>
      <w:r>
        <w:rPr>
          <w:u w:val="single"/>
        </w:rPr>
        <w:t xml:space="preserve">The commissioner shall distribute a copy of the training manual annually to each member of the board.  On receipt of the training manual, each member of the board shall sign and submit to the commissioner a statement acknowledging receipt of the training manual.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161.031(a),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secretary or his or her designee shall prepare and maintain a written plan to assure implementation of a program of equal employment opportunity whereby all personnel transactions are made without regard to race, color, </w:t>
      </w:r>
      <w:r>
        <w:rPr>
          <w:u w:val="single"/>
        </w:rPr>
        <w:t xml:space="preserve">disability</w:t>
      </w:r>
      <w:r>
        <w:t xml:space="preserve"> [</w:t>
      </w:r>
      <w:r>
        <w:rPr>
          <w:strike/>
        </w:rPr>
        <w:t xml:space="preserve">handicap</w:t>
      </w:r>
      <w:r>
        <w:t xml:space="preserve">], sex, religion, age, or national origin.  The plan shall include:</w:t>
      </w:r>
    </w:p>
    <w:p w:rsidR="003F3435" w:rsidRDefault="0032493E">
      <w:pPr>
        <w:spacing w:line="480" w:lineRule="auto"/>
        <w:ind w:firstLine="1440"/>
        <w:jc w:val="both"/>
      </w:pPr>
      <w:r>
        <w:t xml:space="preserve">(1)</w:t>
      </w:r>
      <w:r xml:space="preserve">
        <w:t> </w:t>
      </w:r>
      <w:r xml:space="preserve">
        <w:t> </w:t>
      </w:r>
      <w:r>
        <w:t xml:space="preserve">a comprehensive analysis which meets federal and state guidelines of all the agency's work force by race, sex, ethnic origin, class of position, and salary or wages;</w:t>
      </w:r>
    </w:p>
    <w:p w:rsidR="003F3435" w:rsidRDefault="0032493E">
      <w:pPr>
        <w:spacing w:line="480" w:lineRule="auto"/>
        <w:ind w:firstLine="1440"/>
        <w:jc w:val="both"/>
      </w:pPr>
      <w:r>
        <w:t xml:space="preserve">(2)</w:t>
      </w:r>
      <w:r xml:space="preserve">
        <w:t> </w:t>
      </w:r>
      <w:r xml:space="preserve">
        <w:t> </w:t>
      </w:r>
      <w:r>
        <w:t xml:space="preserve">plans for recruitment, evaluation, selection, appointment, training, promotion, and other personnel policies;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underutilization in the agency work force of all persons for whom federal and state guidelines encourage a more equitable balance and steps reasonably designed to overcome any identified underutilization; and</w:t>
      </w:r>
    </w:p>
    <w:p w:rsidR="003F3435" w:rsidRDefault="0032493E">
      <w:pPr>
        <w:spacing w:line="480" w:lineRule="auto"/>
        <w:ind w:firstLine="1440"/>
        <w:jc w:val="both"/>
      </w:pPr>
      <w:r>
        <w:t xml:space="preserve">(4)</w:t>
      </w:r>
      <w:r xml:space="preserve">
        <w:t> </w:t>
      </w:r>
      <w:r xml:space="preserve">
        <w:t> </w:t>
      </w:r>
      <w:r>
        <w:t xml:space="preserve">objectives and goals, with appropriate timetables for the achievement of the objectives and goals, assignments of responsibility for their achievement, and an appropriate program for reviewing and maintaining these goals and objectives once achieved.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Section 161.023, Natural Resources Code, as amended by this Act, applies to a member of the Veterans' Land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Veterans' Land Board who, before the effective date of this Act, completed the training program required by Section 161.023, Natural Resources Code, as that law existed before the effective date of this Act, is required to complete additional training only on subjects added by this Act to the training program as required by Section 161.023, Natural Resources Code, as amended by this Act.  A board member described by this subsection may not vote, deliberate, or be counted as a member in attendance at a meeting of the board held on or after December 1, 2019, until the member completes the additional training.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