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629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4,</w:t>
      </w:r>
      <w:r xml:space="preserve">
        <w:t> </w:t>
      </w:r>
      <w:r>
        <w:t xml:space="preserve">2019; March</w:t>
      </w:r>
      <w:r xml:space="preserve">
        <w:t> </w:t>
      </w:r>
      <w:r>
        <w:t xml:space="preserve">1,</w:t>
      </w:r>
      <w:r xml:space="preserve">
        <w:t> </w:t>
      </w:r>
      <w:r>
        <w:t xml:space="preserve">2019, read first time and referred to Committee on Education; May</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10, Nays</w:t>
      </w:r>
      <w:r xml:space="preserve">
        <w:t> </w:t>
      </w:r>
      <w:r>
        <w:t xml:space="preserve">1;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629</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availability of certain school district or open-enrollment charter school financial information on certain districts'</w:t>
      </w:r>
      <w:r>
        <w:t xml:space="preserve"> </w:t>
      </w:r>
      <w:r>
        <w:t xml:space="preserve">or schools'</w:t>
      </w:r>
      <w:r>
        <w:t xml:space="preserve"> </w:t>
      </w:r>
      <w:r>
        <w:t xml:space="preserve">Internet websites.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 Education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FINANCIAL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that is ranked among the 50 highest in student enrollment, as determined by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open-enrollment charter school that is ranked among the 10 highest in student enrollment, as determined by the commissioner based on the aggregated student enrollment of all campuses under the school's charter.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44.102.</w:t>
      </w:r>
      <w:r>
        <w:rPr>
          <w:u w:val="single"/>
        </w:rPr>
        <w:t xml:space="preserve"> </w:t>
      </w:r>
      <w:r>
        <w:rPr>
          <w:u w:val="single"/>
        </w:rPr>
        <w:t xml:space="preserve"> </w:t>
      </w:r>
      <w:r>
        <w:rPr>
          <w:u w:val="single"/>
        </w:rPr>
        <w:t xml:space="preserve">FINANCIAL DISCLOSURE.  (a)</w:t>
      </w:r>
      <w:r>
        <w:rPr>
          <w:u w:val="single"/>
        </w:rPr>
        <w:t xml:space="preserve"> </w:t>
      </w:r>
      <w:r>
        <w:rPr>
          <w:u w:val="single"/>
        </w:rPr>
        <w:t xml:space="preserve"> </w:t>
      </w:r>
      <w:r>
        <w:rPr>
          <w:u w:val="single"/>
        </w:rPr>
        <w:t xml:space="preserve">A school district or open-enrollment charter school shall maintain on the district's or school's Internet website an electronic database of district or school finances.  The database must include,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immediately preceding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expenditures as a dollar amount and a dollar amount per student in average daily attendance;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total revenue as a dollar amount and a dollar amount per student in average daily attendance;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total revenue from property taxes as a dollar amount and a dollar amount per student in average daily attendance;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full-time equivalent positions for the district or school;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a district subject to Chapter 41, any amount expended by the district to purchase attendance credits in an amount sufficient for the district to reduce the district's wealth per student to the equalized wealth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graphical representation of the district's or school's operating and debt service funds,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budgeted allocation and per student in average daily attendance allocation for the current school year, separated by each applicable assigned: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function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object code determined by the commissioner as a major object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actual revenues and expenditures for each of the four preceding fiscal years, separated by each applicable assigned: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function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object code determined by the commissioner as a major object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or school's annual financial report for the preceding five fiscal years;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 searchable electronic format: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transaction register for each district or school checking account, including for each check written from a district or school checking account: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transaction amount;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payee;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the check was issued;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statement of the purpose of the expenditure for which the check was written;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governing board financial report, updated at least quarterly, comparing revenues and expenditures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adopted and amended budget;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revenues and expenditures from the preceding fiscal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visualization chart depicting district or school financial data trends for the preceding five fiscal years that shows for each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expenditures per student in average daily attendance;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total revenue per student in average daily attendance;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district, the district property tax rate expressed in dollars per $100 valuation;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contact information for the district or school and members of the governing body of the district or school;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link to a web page maintained by the district or school that provides instructions for submitting a request for information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district's or open-enrollment charter school's annual financial report for the current fiscal year must be posted not later than the first anniversary of the end of the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update the electronic checking account transaction register at least once each month, not later than the 30th day after the closing date of the most recent monthly statement for the checking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each transaction or listing in the electronic checking account transaction register on the district's or school's Internet website until at least the third anniversary of the date of the transaction or listing;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fiscal year that transactions and listings are included in the electronic checking account transaction register, group together the transactions and listings by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