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w:t>
      </w:r>
      <w:r>
        <w:rPr>
          <w:u w:val="single"/>
        </w:rPr>
        <w:t xml:space="preserve"> </w:t>
      </w:r>
      <w:r>
        <w:rPr>
          <w:u w:val="single"/>
        </w:rPr>
        <w:t xml:space="preserve"> </w:t>
      </w:r>
      <w:r>
        <w:rPr>
          <w:u w:val="single"/>
        </w:rPr>
        <w:t xml:space="preserve">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using existing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develop a mental health services development plan for each local mental health authority group that will increase the capacity of the authorities in the group to provide access to needed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a method of increasing the capacity of the authorities in the local mental health authority group to provide access to needed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using existing resources,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