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86R4908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management of certain condominium unit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82.002(c), Property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and the following sections apply to a condominium in this state for which the declaration was recorded before January 1, 1994: Sections 82.005, 82.006, 82.007, 82.053, 82.054, 82.102(a)(1)-(7), (a)(12)-(21), (f), and (g)</w:t>
      </w:r>
      <w:r>
        <w:rPr>
          <w:u w:val="single"/>
        </w:rPr>
        <w:t xml:space="preserve">, 82.1031, 82.1032, 82.1051</w:t>
      </w:r>
      <w:r>
        <w:t xml:space="preserve">, 82.108</w:t>
      </w:r>
      <w:r>
        <w:rPr>
          <w:u w:val="single"/>
        </w:rPr>
        <w:t xml:space="preserve">, 82.1081 through 82.1087</w:t>
      </w:r>
      <w:r>
        <w:t xml:space="preserve">, 82.111, 82.113, 82.114</w:t>
      </w:r>
      <w:r>
        <w:rPr>
          <w:u w:val="single"/>
        </w:rPr>
        <w:t xml:space="preserve">, 82.1141</w:t>
      </w:r>
      <w:r>
        <w:t xml:space="preserve">, 82.116, 82.118, 82.157, and 82.161. The definitions prescribed by Section 82.003 apply to a condominium in this state for which the declaration was recorded before January 1, 1994, to the extent the definitions do not conflict with the declaration.  The sections listed in this subsection apply only with respect to events and circumstances occurring on or after January 1, 1994, and do not invalidate existing provisions of the declaration, bylaws, or plats or plans of a condominium for which the declaration was recorded before January 1, 1994.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82.067,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unit owner may cast or give a vote to adopt an amendment to a declaration under Subsection (a) by any method authorized by Section 82.1085.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82.102(g), Property Code, is amended to read as follows:</w:t>
      </w:r>
    </w:p>
    <w:p w:rsidR="003F3435" w:rsidRDefault="0032493E">
      <w:pPr>
        <w:spacing w:line="480" w:lineRule="auto"/>
        <w:ind w:firstLine="720"/>
        <w:jc w:val="both"/>
      </w:pPr>
      <w:r>
        <w:t xml:space="preserve">(g)</w:t>
      </w:r>
      <w:r xml:space="preserve">
        <w:t> </w:t>
      </w:r>
      <w:r xml:space="preserve">
        <w:t> </w:t>
      </w:r>
      <w:r>
        <w:t xml:space="preserve">If a dedicatory instrument requires a vote of members of the association to borrow money or assign the association's right to future income or the association's lien rights, the loan or assignment must be approved as provided by the dedicatory instrument.  The [</w:t>
      </w:r>
      <w:r>
        <w:rPr>
          <w:strike/>
        </w:rPr>
        <w:t xml:space="preserve">board may determine whether a</w:t>
      </w:r>
      <w:r>
        <w:t xml:space="preserve">] vote for that purpose may be cast </w:t>
      </w:r>
      <w:r>
        <w:rPr>
          <w:u w:val="single"/>
        </w:rPr>
        <w:t xml:space="preserve">as provided by Section 82.1085</w:t>
      </w:r>
      <w:r>
        <w:t xml:space="preserve"> [</w:t>
      </w:r>
      <w:r>
        <w:rPr>
          <w:strike/>
        </w:rPr>
        <w:t xml:space="preserve">electronically, by absentee ballot, in person or by proxy</w:t>
      </w:r>
      <w:r>
        <w:t xml:space="preserve">] at a meeting called for that purpose[</w:t>
      </w:r>
      <w:r>
        <w:rPr>
          <w:strike/>
        </w:rPr>
        <w:t xml:space="preserve">,</w:t>
      </w:r>
      <w:r>
        <w:t xml:space="preserve">] or by written consent.  If a lower approval threshold is not provided by the dedicatory instrument, approval requires the consent of owners holding 67 percent of all voting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82, Property Code, is amended by adding Sections 82.1031, 82.1032, and 82.1051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82.1031.</w:t>
      </w:r>
      <w:r>
        <w:rPr>
          <w:u w:val="single"/>
        </w:rPr>
        <w:t xml:space="preserve"> </w:t>
      </w:r>
      <w:r>
        <w:rPr>
          <w:u w:val="single"/>
        </w:rPr>
        <w:t xml:space="preserve"> </w:t>
      </w:r>
      <w:r>
        <w:rPr>
          <w:u w:val="single"/>
        </w:rPr>
        <w:t xml:space="preserve">ELECTION OF BOARD MEMBERS.  (a)  Notwithstanding any provision in a dedicatory instrument, any board member whose term has expired must be elected by unit owners who are members of the association.  A board member may be appointed by the board to fill a vacancy on the board.  A board member appointed to fill a vacant position shall serve for the remainder of the unexpired term of the 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10 days before the date an association disseminates absentee ballots or other ballots to association members for purposes of voting in a board member election, the association must provide notice to the association members soliciting candidates interested in running for a position on the board.  The notice must contain instructions for an eligible candidate to notify the association of the candidate's request to be placed on the ballot and the deadline to submit the candidate's request.  The deadline may not be earlier than the 10th day after the date the association provides the notice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by Subsection (b)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to each unit owner;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notice in a conspicuous manner reasonably designed to provide notice to unit owners: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 place located on the common elements or, with the unit owner's consent, on other conspicuously located privately owned property in or on the condominium;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any Internet website maintained by the association or other Internet media;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sending the notice by e-mail to each unit owner who has registered an e-mail address with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association shall include on each absentee ballot or other ballot for a board member election the name of each eligible candidate from whom the association received a request to be placed on the ballot in accordance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an association may amend the bylaws of the association to provide for elections to be held as required by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appointment of a board member in violation of this section is void.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the appointment of a board member during a period of declarant control.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82.1032.</w:t>
      </w:r>
      <w:r>
        <w:rPr>
          <w:u w:val="single"/>
        </w:rPr>
        <w:t xml:space="preserve"> </w:t>
      </w:r>
      <w:r>
        <w:rPr>
          <w:u w:val="single"/>
        </w:rPr>
        <w:t xml:space="preserve"> </w:t>
      </w:r>
      <w:r>
        <w:rPr>
          <w:u w:val="single"/>
        </w:rPr>
        <w:t xml:space="preserve">BOARD MEMBERSHIP.  (a)  Except as provided by this section, a provision in a dedicatory instrument that restricts a unit owner's right to run for a position on the board of the association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an association's bylaws may require one or more board members to reside in the condominium subject to the dedicatory instruments but may not require all board members to reside in the condominium.  A requirement described by this subsection is not applicable during the period of declarant control.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board is presented with written, documented evidence from a database or other record maintained by a governmental law enforcement authority that a board member was convicted of a felony or crime involving moral turpitude not more than 20 years before the date the board is presented with the evidence, the board member is immediately ineligible to serve on the board of the association, automatically considered removed from the board, and prohibited from future service on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82.1051.</w:t>
      </w:r>
      <w:r>
        <w:rPr>
          <w:u w:val="single"/>
        </w:rPr>
        <w:t xml:space="preserve"> </w:t>
      </w:r>
      <w:r>
        <w:rPr>
          <w:u w:val="single"/>
        </w:rPr>
        <w:t xml:space="preserve"> </w:t>
      </w:r>
      <w:r>
        <w:rPr>
          <w:u w:val="single"/>
        </w:rPr>
        <w:t xml:space="preserve">ASSOCIATION CONTRACTS.  (a)  This section does not apply to a contract entered into by an association during a period of declarant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association may enter into an enforceable contract with a current association board member, a person related to a current association board member within the third degree by consanguinity or affinity, as determined under Chapter 573, Government Code, a company in which a current association board member has a financial interest in at least 51 percent of profits, or a company in which a person related to a current association board member within the third degree by consanguinity or affinity, as determined under Chapter 573, Government Code, has a financial interest in at least 51 percent of profits only if the following conditions are satisfied: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member, relative, or company bids on the proposed contract and the association has received at least two other bids for the contract from persons not associated with the board member, relative, or company, if reasonably available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given access to the other bids;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participate in any board discussion regarding the contract;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vote on the award of the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material facts regarding the relationship or interest with respect to the proposed contract are disclosed to or known by the association board and the board, in good faith and with ordinary care, authorizes the contract by an affirmative vote of the majority of the board members who do not have an interest governed by this subsection;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association board certifies that the other requirements of this subsection have been satisfied by a resolution approved by an affirmative vote of the majority of the board members who do not have an interest governed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82.108(b), Property Code, is amended to read as follows:</w:t>
      </w:r>
    </w:p>
    <w:p w:rsidR="003F3435" w:rsidRDefault="0032493E">
      <w:pPr>
        <w:spacing w:line="480" w:lineRule="auto"/>
        <w:ind w:firstLine="720"/>
        <w:jc w:val="both"/>
      </w:pPr>
      <w:r>
        <w:t xml:space="preserve">(b)</w:t>
      </w:r>
      <w:r xml:space="preserve">
        <w:t> </w:t>
      </w:r>
      <w:r xml:space="preserve">
        <w:t> </w:t>
      </w:r>
      <w:r>
        <w:t xml:space="preserve">Meetings of the association and board must be open to unit owners </w:t>
      </w:r>
      <w:r>
        <w:rPr>
          <w:u w:val="single"/>
        </w:rPr>
        <w:t xml:space="preserve">as provided by Section 82.1081</w:t>
      </w:r>
      <w:r>
        <w:t xml:space="preserve">[</w:t>
      </w:r>
      <w:r>
        <w:rPr>
          <w:strike/>
        </w:rPr>
        <w:t xml:space="preserve">, subject to the right of the board to adjourn a meeting of the board and reconvene in closed executive session to consider actions involving personnel, pending litigation, contract negotiations, enforcement actions, matters involving the invasion of privacy of individual unit owners, or matters that are to remain confidential by request of the affected parties and agreement of the board.  The general nature of any business to be considered in executive session must first be announced at the open meeting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82, Property Code, is amended by adding Sections 82.1081 through 82.1087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82.1081.</w:t>
      </w:r>
      <w:r>
        <w:rPr>
          <w:u w:val="single"/>
        </w:rPr>
        <w:t xml:space="preserve"> </w:t>
      </w:r>
      <w:r>
        <w:rPr>
          <w:u w:val="single"/>
        </w:rPr>
        <w:t xml:space="preserve"> </w:t>
      </w:r>
      <w:r>
        <w:rPr>
          <w:u w:val="single"/>
        </w:rPr>
        <w:t xml:space="preserve">OPEN MEETINGS.  (a)  In this section, "board meeting":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 deliberation between a quorum of the association board, or between a quorum of the board and another person, during which association business is considered and the board takes formal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the gathering of a quorum of the board at a social function unrelated to the business of the association or the attendance by a quorum of the board at a regional, state, or national convention, ceremonial event, or press conference, if formal action is not taken and any discussion of association business is incidental to the social function, convention, ceremonial event, or press conference.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Meetings of the association and regular and special board meetings must be open to unit owners, subject to the right of the board to adjourn a board meeting and reconvene in closed executive session to consider actions involving personnel, pending or threatened litigation, contract negotiations, enforcement actions, confidential communications with the association's attorney, matters involving the invasion of privacy of individual unit owners, or matters that are to remain confidential by request of the affected parties and agreement of the board.  Following an executive session, any decision made in the executive session must be summarized orally and placed in the minutes, in general terms, without breaching the privacy of individual unit owners, violating any privilege, or disclosing information that was to remain confidential at the request of the affected parties.  The oral summary must include a general explanation of expenditures approved in executive session.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meeting held by electronic or telephonic means under Subsection (d), a board meeting must be held in a county in which all or any part of the condominium is located or in a county adjacent to that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meeting may be held by electronic or telephonic means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board member may hear and be heard by every other board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for any portion of the meeting conducted in executive session: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unit owners in attendance at the meeting may hear all board members;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unit owners are allowed to listen using any electronic or telephonic communication method used or expected to be used by a board member to participate;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notice of the meeting includes instructions for unit owners to access any communication method required to be accessible under Subdivision (2)(B).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keep a record of each regular or special board meeting in the form of written minutes of the meeting.  The board shall make meeting records, including approved minutes, available to a unit owner for inspection and copying on the unit owner's written request to the association's managing agent at the address appearing on the most recently filed management certificate or, if there is not a managing agent, to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Unit owners shall be given notice of the date, hour, place, and general subject of a meeting of the association or a regular or special board meeting, including a general description of any matter to be brought up for deliberation in executive session.  Except as provided by Section 82.070, the notice shall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mailed to each unit owner not later than the 10th day or earlier than the 60th day before the date of the meeting;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at least 72 hours before the start of the meeting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posting the notice in a conspicuous manner reasonably designed to provide notice to unit owners: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a place located on the common elements or, with the unit owner's consent, on other conspicuously located privately owned property in or on the condominium;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any Internet website maintained by the association or other Internet media;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sending the notice by e-mail to each unit owner who has registered an e-mail address with the association.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unit owner's duty to keep an updated e-mail address registered with the association under Subsection (f)(2)(B).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board recesses a regular or special board meeting to continue the following regular business day, the board is not required to post notice of the continued meeting if the recess is taken in good faith and not to circumvent this section.  If a regular or special board meeting is continued to the following regular business day, and on that following day the board continues the meeting to another day, the board shall give notice of the continuation in at least one manner prescribed by Subsection (f)(2)(A) not later than two hours after adjourning the meeting being continued.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this subsection, a board may take action outside of a meeting, including voting by electronic or telephonic means, without prior notice to unit owners under Subsection (f), if each board member is given a reasonable opportunity to express the board member's opinion to all other board members and to vote.  Any action taken without notice to unit owners under Subsection (f) must be summarized orally, including an explanation of any known actual or estimated expenditures approved at the meeting, and documented in the minutes of the next regular or special board meeting.  The board may not, unless done in an open meeting for which prior notice was given to unit owners under Subsection (f), consider or vote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initiation of foreclosure actions;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initiation of enforcement actions, excluding temporary restraining orders or violations involving a threat to health or safety;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increases in assessments;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levying of special assessments;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appeals from a denial of a request for approval of an alteration of a unit under Section 82.061;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suspension of a right of a particular unit owner before the unit owner has an opportunity to attend a board meeting to present the unit owner's position, including any defense, on the issue;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lending or borrowing money;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adoption or amendment of a dedicatory instrument;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approval of an annual budget or the approval of an amendment of an annual budget that increases the budget by more than 10 percent;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sale or purchase of real property;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filling of a vacancy on the board;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construction of capital improvements other than the repair, replacement, or enhancement of existing capital improvements;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election of an officer.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applies to a meeting of an association board during a period of declarant control only if the meeting is conducted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adopting or amending the governing documents, including declarations, bylaws, rules, and regulations of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amount of regular assessments of the association or adopting or increasing a special assessment;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electing non-declarant board members of the association or establishing a process by which those members are elected;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changing the voting rights of members of the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82.1082.</w:t>
      </w:r>
      <w:r>
        <w:rPr>
          <w:u w:val="single"/>
        </w:rPr>
        <w:t xml:space="preserve"> </w:t>
      </w:r>
      <w:r>
        <w:rPr>
          <w:u w:val="single"/>
        </w:rPr>
        <w:t xml:space="preserve"> </w:t>
      </w:r>
      <w:r>
        <w:rPr>
          <w:u w:val="single"/>
        </w:rPr>
        <w:t xml:space="preserve">NOTICE OF ELECTION OR ASSOCIATION VOTE.  (a)  Except as provided in Section 82.070, for an election or vote taken at a meeting of the unit owners, not later than the 10th day or earlier than the 60th day before the date of the election or vote, an association shall give written notice of the election or vote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unit owner in the association, for purposes of an association-wide election or vote;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unit owner in the association entitled under the dedicatory instruments to vote in a particular representative election, for purposes of a vote that involves election of representatives of the association who are vested under the dedicatory instruments of the association with the authority to elect or appoint board members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election or vote of unit owners not taken at a meeting, the association shall give notice of the election or vote to all unit owners entitled to vote on any matter under consideration.  The notice shall be given not later than the 20th day before the latest date on which a ballot may be submitted to be counted.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supersedes any contrary requirement in a dedicatory instrument.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82.1083.</w:t>
      </w:r>
      <w:r>
        <w:rPr>
          <w:u w:val="single"/>
        </w:rPr>
        <w:t xml:space="preserve"> </w:t>
      </w:r>
      <w:r>
        <w:rPr>
          <w:u w:val="single"/>
        </w:rPr>
        <w:t xml:space="preserve"> </w:t>
      </w:r>
      <w:r>
        <w:rPr>
          <w:u w:val="single"/>
        </w:rPr>
        <w:t xml:space="preserve">RIGHT TO VOTE.  A provision in a dedicatory instrument that would disqualify a unit owner from voting in an association election of board members or on any matter concerning the rights or responsibilities of the unit owner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82.1084.</w:t>
      </w:r>
      <w:r>
        <w:rPr>
          <w:u w:val="single"/>
        </w:rPr>
        <w:t xml:space="preserve"> </w:t>
      </w:r>
      <w:r>
        <w:rPr>
          <w:u w:val="single"/>
        </w:rPr>
        <w:t xml:space="preserve"> </w:t>
      </w:r>
      <w:r>
        <w:rPr>
          <w:u w:val="single"/>
        </w:rPr>
        <w:t xml:space="preserve">BALLOTS.  (a)  Except as provided by Subsection (d), any vote cast in an election or vote by an association member must be in writing and signed by the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Electronic votes cast under Section 82.1085 constitute written and signed ballots.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association election, written and signed ballots are not required for uncontested races.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association may adopt rules to allow voting by secret ballot by members of the association.  The association must take measures to reasonably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cannot cast more votes than the member is eligible to cast in an election or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association counts every vote cast by a member that is eligible to cast a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82.1085.</w:t>
      </w:r>
      <w:r>
        <w:rPr>
          <w:u w:val="single"/>
        </w:rPr>
        <w:t xml:space="preserve"> </w:t>
      </w:r>
      <w:r>
        <w:rPr>
          <w:u w:val="single"/>
        </w:rPr>
        <w:t xml:space="preserve"> </w:t>
      </w:r>
      <w:r>
        <w:rPr>
          <w:u w:val="single"/>
        </w:rPr>
        <w:t xml:space="preserve">VOTING METHODS; ABSENTEE OR ELECTRONIC BALLOTS.  (a)  Subject to Subsection (b), the voting rights of a unit owner may be cast or given: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 or by proxy at a meeting of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absentee ballot in accordance with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electronic ballot in accordance with this section;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 any method of representative or delegated voting provided by a dedicatory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subsection, unless a dedicatory instrument provides otherwise, an association is not required to provide a unit owner with more than one voting method.  A unit owner must be allowed to vote by absentee ballot or proxy.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absentee or electronic ballot: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counted as a unit owner present and voting for the purpose of establishing a quorum only for items appearing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counted, even if properly delivered, if the unit owner attends any meeting to vote in person, so that any vote cast at a meeting by a unit owner supersedes any vote submitted by absentee or electronic ballot previously submitted for that proposal;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be counted on the final vote of a proposal if the motion was amended at the meeting to be different from the exact language on the absentee or electronic ballot.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(c), a nomination taken from the floor in a board member election is not considered an amendment to the proposal for the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solicitation for votes by absentee ballot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absentee ballot that contains each proposed action and provides an opportunity to vote for or against each proposed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for delivery of the completed absentee ballot, including the delivery location;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language: "By casting your vote via absentee ballot you will forgo the opportunity to consider and vote on any action from the floor on these proposals, if a meeting is held.  This means that if there are amendments to these proposals your votes will not be counted on the final vote on these measures.  If you desire to retain this ability, please attend any meeting in person.  You may submit an absentee ballot and later choose to attend any meeting in person, in which case any in-person vote will prevail."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the purposes of this section, "electronic ballot" means a ballot: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facsimile;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posting on an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identity of the unit owner submitting the ballot can be confirmed;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which the unit owner may receive a receipt of the electronic transmission and receipt of the unit owner's ballot.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electronic ballot is posted on an Internet website, a notice of the posting shall be sent to each unit owner that contains instructions on obtaining access to the posting on the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supersedes any contrary provision in a dedicatory instrument.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82.1086.</w:t>
      </w:r>
      <w:r>
        <w:rPr>
          <w:u w:val="single"/>
        </w:rPr>
        <w:t xml:space="preserve"> </w:t>
      </w:r>
      <w:r>
        <w:rPr>
          <w:u w:val="single"/>
        </w:rPr>
        <w:t xml:space="preserve"> </w:t>
      </w:r>
      <w:r>
        <w:rPr>
          <w:u w:val="single"/>
        </w:rPr>
        <w:t xml:space="preserve">TABULATION OF AND ACCESS TO BALLOTS.  (a)  Notwithstanding any other provision of this chapter or any other law, a person who is a candidate in an association election or who is otherwise the subject of an association vote, or a person related to that person within the third degree by consanguinity or affinity, as determined under Chapter 573, Government Code, may not tabulate or otherwise be given access to the ballots cast in that election or vote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other than a person described by Subsection (a) may tabulate votes in an association election or vote.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tabulates votes under Subsection (b) or who performs a recount under Section 82.1087 may not disclose to any other person how an individual voted.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or any other law, only a person who tabulates votes under Subsection (b) or who performs a recount under Section 82.1087 may be given access to the ballots cast in the election or vote.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affect a person's obligation to comply with a court order for the release of ballots or other voting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82.1087.</w:t>
      </w:r>
      <w:r>
        <w:rPr>
          <w:u w:val="single"/>
        </w:rPr>
        <w:t xml:space="preserve"> </w:t>
      </w:r>
      <w:r>
        <w:rPr>
          <w:u w:val="single"/>
        </w:rPr>
        <w:t xml:space="preserve"> </w:t>
      </w:r>
      <w:r>
        <w:rPr>
          <w:u w:val="single"/>
        </w:rPr>
        <w:t xml:space="preserve">RECOUNT OF VOTES.  (a)  Any unit owner may, not later than the 15th day after the later of the date of any meeting of unit owners at which the election or vote was held or the date of the announcement of the results of the election or vote, require a recount of the votes.  A demand for a recount must be submitted in writing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verified mail or by delivery by the United States Postal Service with signature confirmation service to the association's mailing address as reflected on the latest management certificate filed under Section 82.116;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person to the association's managing agent as reflected on the latest management certificate filed under Section 82.116 or to the address to which absentee and proxy ballots are mailed.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must estimate the costs for performance of the recount by a person qualified to tabulate votes under Subsection (f) and must send an invoice for the estimated costs to the requesting unit owner at the unit owner's last known address according to association records not later than the 20th day after the date the association receives the unit owner's demand for the recount.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owner demanding a recount under this section must pay the invoice described by Subsection (b) in full to the association on or before the 30th day after the date the invoice is sent to the unit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invoice described by Subsection (b) is not paid by the deadline prescribed by Subsection (c), the unit owner's demand for a recount is considered withdrawn and a recount is not required.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estimated costs under Subsection (b) are lesser or greater than the actual costs, the association must send a final invoice to the unit owner on or before the 30th business day after the date the results of the recount are provided.  If the final invoice includes additional amounts owed by the unit owner, any additional amounts not paid to the association before the 30th business day after the date the invoice is sent to the unit owner may be added to the unit owner's account as an assessment.  If the estimated costs exceed the final invoice amount, the unit owner is entitled to a refund.  The refund shall be paid to the unit owner at the time the final invoice is sent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Following receipt of payment under Subsection (c), the association shall, at the expense of the unit owner requesting the recount, retain for the purpose of performing the recount the services of a person qualified to tabulate votes under this subsection.  The association shall enter into a contract for the services of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member of the association or related to a member of the association board within the third degree by consanguinity or affinity, as determined under Chapter 573,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current or former: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county judge;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county elections administrator;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justice of the peace;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county voter registrar;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agreed on by the association and each person requesting the recount.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receipt of payment for a recount in accordance with Subsection (c), the recount must be completed and the association must provide each unit owner who requested the recount with notice of the results of the recount.  If the recount changes the results of the election, the association shall reimburse the requesting unit owner for the cost of the recount not later than the 30th day after the date the results of the recount are provided.  Any action taken by the board in the period between the initial election vote tally and the completion of the recount is not affected by any recount.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82.114(b), Property Code, is amended to read as follows:</w:t>
      </w:r>
    </w:p>
    <w:p w:rsidR="003F3435" w:rsidRDefault="0032493E">
      <w:pPr>
        <w:spacing w:line="480" w:lineRule="auto"/>
        <w:ind w:firstLine="720"/>
        <w:jc w:val="both"/>
      </w:pPr>
      <w:r>
        <w:t xml:space="preserve">(b)</w:t>
      </w:r>
      <w:r xml:space="preserve">
        <w:t> </w:t>
      </w:r>
      <w:r xml:space="preserve">
        <w:t> </w:t>
      </w:r>
      <w:r>
        <w:t xml:space="preserve">All financial and other records of the association shall be reasonably available at its registered office or its principal office in this state for examination </w:t>
      </w:r>
      <w:r>
        <w:rPr>
          <w:u w:val="single"/>
        </w:rPr>
        <w:t xml:space="preserve">and production in accordance with Section 82.1141</w:t>
      </w:r>
      <w:r>
        <w:t xml:space="preserve"> [</w:t>
      </w:r>
      <w:r>
        <w:rPr>
          <w:strike/>
        </w:rPr>
        <w:t xml:space="preserve">by a unit owner and the owner's agents.  An attorney's files and records relating to the association are not records of the association and are not subject to inspection by unit owners or production in a legal proceeding</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82, Property Code, is amended by adding Section 82.1141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82.1141.</w:t>
      </w:r>
      <w:r>
        <w:rPr>
          <w:u w:val="single"/>
        </w:rPr>
        <w:t xml:space="preserve"> </w:t>
      </w:r>
      <w:r>
        <w:rPr>
          <w:u w:val="single"/>
        </w:rPr>
        <w:t xml:space="preserve"> </w:t>
      </w:r>
      <w:r>
        <w:rPr>
          <w:u w:val="single"/>
        </w:rPr>
        <w:t xml:space="preserve">ACCESS TO ASSOCIATION RECORDS.  (a)  This section applies to all associations governed by this chapter and controls over other law not specifically applicable to an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 provision in a dedicatory instrument, an association shall make the books and records of the association, including financial records, open to and reasonably available for examination by a unit owner, or a person designated in a writing signed by the unit owner as the unit owner's agent, attorney, or certified public accountant, in accordance with this section.  A unit owner is entitled to obtain from the association copies of information contained in the books and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subsection, an attorney's files and records relating to the association, excluding invoices requested by a unit owner for attorney's fees and other costs relating only to a matter for which the association seeks reimbursement of fees and costs, are not records of the association and are not subject to inspection by the unit owner or production in a legal proceeding.  If a document in an attorney's files and records relating to the association would be responsive to a legally authorized request to inspect or copy association documents, the document shall be produced by using the copy from the attorney's files and records if the association has not maintained a separate copy of the document.  This subsection does not require production of a document that constitutes attorney work product or that is privileged as an attorney-client communication.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unit owner or the unit owner's authorized representative described by Subsection (b) must submit a written request for access or information under Subsection (b) by certified mail, with sufficient detail describing the association's books and records requested, to the mailing address of the association or authorized representative as reflected on the most current management certificate filed under Section 82.116.  The request must contain an election either to inspect the books and records before obtaining copies or to have the association forward copies of the requested books and records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an inspection is requested, the association, on or before the 10th business day after the date the association receives the request, shall send written notice of dates during normal business hours that the unit owner may inspect the requested books and records to the extent those books and records are in the possession, custody, or control of the association;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copies of identified books and records are requested, the association shall, to the extent those books and records are in the possession, custody, or control of the association, produce the requested books and records for the requesting party on or before the 10th business day after the date the association receives the request, except as otherwise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association is unable to produce the books or records requested under Subsection (d) on or before the 10th business day after the date the association receives the request, the association must provide to the requestor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informs the requestor that the association is unable to produce the information on or before the 10th business day after the date the association received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a date by which the information will be sent or made available for inspection to the requesting party that is not later than the 15th business day after the date notice under this subsection is given.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inspection is requested or required, the inspection shall take place at a mutually agreed on time during normal business hours, and the requesting party shall identify the books and records for the association to copy and forward to the requesting party.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association may produce books and records requested under this section in hard copy, electronic, or other format reasonably available to the association.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association board must adopt a records production and copying policy that prescribes the costs the association will charge for the compilation, production, and reproduction of information requested under this section.  The prescribed charges may include all reasonable costs of materials, labor, and overhead but may not exceed costs that would be applicable for an item under 1 T.A.C. Section 70.3.  The policy required by this subsection must be recorded as a dedicatory instrument in accordance with Section 202.006.  An association may not charge a unit owner for the compilation, production, or reproduction of information requested under this section unless the policy prescribing those costs has been recorded as required by this subsection.  A unit owner is responsible for costs related to the compilation, production, and reproduction of the requested information in the amounts prescribed by the policy adopted under this subsection.  The association may require advance payment of the estimated costs of compilation, production, and reproduction of the requested information.  If the estimated costs are lesser or greater than the actual costs, the association shall submit a final invoice to the unit owner on or before the 30th business day after the date the information is delivered.  If the final invoice includes additional amounts due from the unit owner, the additional amounts, if not reimbursed to the association before the 30th business day after the date the invoice is sent to the unit owner, may be added to the unit owner's account as an assessment.  If the estimated costs exceeded the final invoice amount, the unit owner is entitled to a refund, and the refund shall be issued to the unit owner not later than the 30th business day after the date the invoice is sent to the unit owner.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association must estimate costs under this section using amounts prescribed by the policy adopted under Subsection (h).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Except as provided by Subsection (k) and to the extent the information is provided in the meeting minutes, the association is not required to release or allow inspection of any books or records that identify the dedicatory instrument violation history of an individual unit owner of an association, a unit owner's personal financial information, including records of payment or nonpayment of amounts due the association, a unit owner's contact information, other than the unit owner's address, or information related to an employee of the association, including personnel files.  Information may be released in an aggregate or summary manner that would not identify an individual unit owner.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books and records described by Subsection (j) shall be released or made available for inspection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express written approval of the unit owner whose records are the subject of the request for inspection is provided to the association;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orders the release of the books and records or orders that the books and records be made available for inspection.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addition to retaining records as necessary for compliance with Section 82.114 an association shall adopt and comply with a document retention policy that includes, at a minimum,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certificates of formation, bylaws, dedicatory instruments, and all amendments to the certificates of formation, bylaws, and dedicatory instruments shall be retained permanently;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books and records shall be retained for seven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account records of current unit owners shall be retained for five years;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contracts with a term of one year or more shall be retained for four years after the expiration of the contract term;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minutes of meetings of the unit owners and the board shall be retained for seven years;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tax returns and audit records shall be retained for seven years.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member of an association who is denied access to or copies of association books or records to which the member is entitled under this section may file a petition with the justice of the peace of a justice precinct in which all or part of the condominium is located requesting relief in accordance with this subsection.  If the justice of the peace finds that the member is entitled to access to or copies of the records, the justice of the peace may grant one or more of the following remedies: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ordering the association to release or allow access to the books or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judgment against the association for court costs and attorney's fees incurred in connection with seeking a remedy under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judgment authorizing the unit owner or the unit owner's assignee to deduct the amounts awarded under Subdivision (2) from any future regular or special assessments payable to the association.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association prevails in an action under Subsection (m), the association is entitled to a judgment for court costs and attorney's fees incurred by the association in connection with the action.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On or before the 10th business day before the date a person brings an action against an association under this section, the person must send written notice to the association of the person's intent to bring the action.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sent certified mail, return receipt requested, or delivered by the United States Postal Service with signature confirmation service to the mailing address of the association or authorized representative as reflected on the most current management certificate filed under Section 82.116;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with sufficient detail the books and records being requested.</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For the purposes of this section, "business day" means a day other than Saturday, Sunday, or a state or federal holiday.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82.108(c), (d), (e), and (f), Property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Section 82.1051, Property Code, as added by this Act, applies only to a contract entered into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 vote held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82.1141, Property Code, as added by this Act, applies only to a request for association records or information made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