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86R5704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640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requirements for leased residential property, manufactured home lots, or commercial property located in a flood zone.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91, Property Code, is amended by adding Section 91.007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91.007.</w:t>
      </w:r>
      <w:r>
        <w:rPr>
          <w:u w:val="single"/>
        </w:rPr>
        <w:t xml:space="preserve"> </w:t>
      </w:r>
      <w:r>
        <w:rPr>
          <w:u w:val="single"/>
        </w:rPr>
        <w:t xml:space="preserve"> </w:t>
      </w:r>
      <w:r>
        <w:rPr>
          <w:u w:val="single"/>
        </w:rPr>
        <w:t xml:space="preserve">NOTICE FOR LEASED PROPERTY LOCATED IN FLOOD ZONE.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property" means real property not zoned or otherwise authorized for use as residential property.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"Dwelling" has the meaning assigned by Section 92.001.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"Flood zone" means any area of land designated by the Federal Emergency Management Agency under the National Flood Insurance Act of 1968 (42 U.S.C. Section 4001 et seq.) as an area of land that is susceptible to being inundated by water from any source,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100-year floodplain;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500-year floodplain;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floodway.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"Manufactured home lot" has the meaning assigned by Section 94.001.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signing a written lease agreement or entering into an oral lease agreement for a dwelling, manufactured home lot, or commercial property with a prospective tenant, a landlord or landlord's agent must provide the written notice described by Subsection (d) to the prospective tenant if any part of the following is located in a flood zone: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dwelling, manufactured home lot, or commercial property,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building in which the dwelling or commercial property is located, as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parking area that will be available to the prospective tenant or the tenant's guests or customers;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leased property is a dwelling, the storage area for personal property that will be available to the prospective tenant.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leased dwelling, lot, property, building, or other area described by Subsection (b) is located in an area designated by the Federal Emergency Management Agency as a flood zone during the term of the lease, the landlord or the landlord's agent shall provide the written notice described by Subsection (d) to each affected tenant in that area not later than the 30th day after the date the flood zone is designated.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written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clearly state which dwelling, lot, property, building, or areas listed under Subsection (b) relevant to the tenant's lease are located in a flood zone and whether the area is located in a 100-year floodplain, 500-year floodplain, floodway, or other area susceptible to flooding;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clearly state that flooding in a 100-year or 500-year floodplain can and does occur on a more frequent basis than once every 100 or 500 years, respectively;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leased property is a dwelling, clearly state that most tenant insurance policies do not cover damages or loss incurred in a flood event;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 that the tenant seek appropriate insurance coverage that would cover losses caused by a flood;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affirm that the landlord or landlord's agent provided the 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before the lease agreement was entered into;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Subsection (c) applies, not later than the 30th day after the date the flood zone is designated;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signed and dated by the landlord or landlord's agent and tenant.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landlord or a landlord's agent violates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tenant may terminate the lease agreement and avoid liability for future rent and any other sums due under the agreement for terminating the agreement and vacating the property before the end of the lease term;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tenant suffers loss of or damage to the tenant's personal property as a result of a flood, the tenant is entitled to recover from the landlord the following amounts, less any delinquent rent or other sum for which the tenant is liable to the landlord: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tenant's actual damages;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greater of one month's rent or $1,000;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and court costs incurred in recovering the amounts in Paragraphs (A) and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91.007, Property Code, as added by this Act, applies only to a lease agreement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