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86R5324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computation of cost of goods sold for purposes of the franchise tax by taxable entities that transport ready-mixed concrete.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171.1012, Tax Code, is amended by adding Subsection (r)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(r)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(e)(3) or (6), a taxable entity that transports ready-mixed concrete may subtract as cost of goods sold distribution and rehandling costs regardless of whether the taxable entity owns the ready-mixed concrete.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report originally due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