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restrictions on holders of package store permits.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22.04 and 22.05, Alcoholic Beverage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