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649</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5,</w:t>
      </w:r>
      <w:r xml:space="preserve">
        <w:t> </w:t>
      </w:r>
      <w:r>
        <w:t xml:space="preserve">2019; March</w:t>
      </w:r>
      <w:r xml:space="preserve">
        <w:t> </w:t>
      </w:r>
      <w:r>
        <w:t xml:space="preserve">1,</w:t>
      </w:r>
      <w:r xml:space="preserve">
        <w:t> </w:t>
      </w:r>
      <w:r>
        <w:t xml:space="preserve">2019, read first time and referred to Committee on Natural Resources &amp; Economic Development;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8, Nays</w:t>
      </w:r>
      <w:r xml:space="preserve">
        <w:t> </w:t>
      </w:r>
      <w:r>
        <w:t xml:space="preserve">1;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649</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promotion of the use of recyclable materials as feedstock for processing and manufacturing.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361, Health and Safety Code, is amended by adding Section 361.0152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361.0152.</w:t>
      </w:r>
      <w:r>
        <w:rPr>
          <w:u w:val="single"/>
        </w:rPr>
        <w:t xml:space="preserve"> </w:t>
      </w:r>
      <w:r>
        <w:rPr>
          <w:u w:val="single"/>
        </w:rPr>
        <w:t xml:space="preserve"> </w:t>
      </w:r>
      <w:r>
        <w:rPr>
          <w:u w:val="single"/>
        </w:rPr>
        <w:t xml:space="preserve">STIMULATE USE OF RECYCLABLE MATERIAL.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"Manufacturer" means a facility that uses postconsumer or postindustrial derived recyclable material to create a finished product for sale or trade.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"Principal processor" means a facility that receives recyclable materials from generators or collection programs and sorts, cleans, screens, bales, densifies, cures, or creates product that is ready for beneficial reuse immediately after processing or is ready to be used as a feedstock by a subsequent processor or manufacturer.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"Recyclable material" includes paper, plastic, metal, glass, vegetative waste, compost, mulch, tires, electronic waste, construction and demolition debris, batteries, and paint.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ferrous or nonferrous metals recycled by a metal recycling entity as defined by Section 1956.001, Occupations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cooperation with the Texas Economic Development and Tourism Office, the commission shall produce a plan to stimulate the use of recyclable materials as feedstock in processing and manufacturing.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quantity and type of recyclable materials that are being recycled from municipal and industrial sources;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and estimate the quantity and type of recyclable materials that are generated but not being recycled;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and estimate the current economic benefits of recycling materials and the potential economic benefits to be gained by recycling materials identified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the location, processing capacity, and consumption capacity of existing principal processors and manufacturers;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identify the barriers to increasing the use of recyclable materials as feedstock for principal processors and manufacturers and means to eliminate those barriers;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identify and estimate the need and type of principal processing and manufacturing facilities necessary to consume the existing and potential volumes of recyclable materials;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recommend institutional, financial, administrative, and physical methods, means, and processes that could be applied by this state and by local governments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increase the use of recyclable materials;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stimulate the use of recyclable materials by principal processors and manufacturers;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encourage the expansion of existing principal processors and manufacturers and the development of new principal processors and manufacturers that use recyclable materials.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plan may not require a generator, collector, or processor of recyclable materials to ship to or use a particular processing or manufacturing facility.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the extent practicable in preparing the plan, the commission shall use methodologies and information derived from other recycling economic studies already performed.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update the plan every four years, and in a year in which the plan is updated, the plan shall be included in the annual summary of municipal solid waste management produced by the municipal solid waste permits section of the commission and delivered to the governor and legislature.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cooperation with other state agencies, including the governor's office, the commission shall develop an education program intended for the public that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economic benefits of recycling, including job creation, economic impact, percent of total municipal and industrial solid waste recycled, weight and volume of municipal and industrial solid waste recycled, and taxes and fees paid by the recycling industry;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spotlight of collectors and processors of recyclable materials and manufacturers based in this state that are using recyclable materials as feedstock;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detrimental effects of contamination in the recyclable materials stream and the need to reduce those effects.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shall update the education program required by Subsection (h) at least every four years.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may enter into contracts with public, private, and nonprofit organizations to produce the plan required by Subsection (c) and the education program required by Subsection (h).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Not later than September 1, 2020, the Texas Commission on Environmental Quality and the Texas Economic Development and Tourism Office shall prepare and deliver to the governor and the Municipal Solid Waste Management and Resource Recovery Advisory Council a progress report on the initial plan and education program required under Section 361.0152, Health and Safety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2021, the Texas Commission on Environmental Quality and the Texas Economic Development and Tourism Office shall complete and make publicly available the initial plan and implement the education program required under Section 361.0152,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Economic Development and Tourism Office in the office of the governor and the Texas Commission on Environmental Quality are required to implement Sections 361.0152(c)-(g), Health and Safety Code, as added by this Act, only if the legislature appropriates money specifically for that purpose. </w:t>
      </w:r>
      <w:r>
        <w:t xml:space="preserve"> </w:t>
      </w:r>
      <w:r>
        <w:t xml:space="preserve">If the legislature does not appropriate money specifically for that purpose, the Texas Economic Development and Tourism Office in the office of the governor and the Texas Commission on Environmental Quality may, but are not required to, implement those provisions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