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652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and requirements for the issuance of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six</w:t>
      </w:r>
      <w:r>
        <w:t xml:space="preserve"> [</w:t>
      </w:r>
      <w:r>
        <w:rPr>
          <w:strike/>
        </w:rPr>
        <w:t xml:space="preserve">three</w:t>
      </w:r>
      <w:r>
        <w:t xml:space="preserve">] years and failed to be approved.</w:t>
      </w:r>
      <w:r xml:space="preserve">
        <w:t> </w:t>
      </w:r>
      <w:r xml:space="preserve">
        <w:t> </w:t>
      </w:r>
      <w:r>
        <w:t xml:space="preserve">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Sections 271.056(1)-(3);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271.049,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30th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continuously on the issuer's Internet website for at least 30 days before the date tentatively set for the passage of the order or ordinance authorizing the issuance of the certificates</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issuer shall maintain an Internet website to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271.049, Local Government Code, as amended by this Act, applies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on the date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