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2019; March</w:t>
      </w:r>
      <w:r xml:space="preserve">
        <w:t> </w:t>
      </w:r>
      <w:r>
        <w:t xml:space="preserve">1,</w:t>
      </w:r>
      <w:r xml:space="preserve">
        <w:t> </w:t>
      </w:r>
      <w:r>
        <w:t xml:space="preserve">2019, read first time and referred to Committee on Property Tax;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5,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652</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procedures and requirements for the issuance of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271.047(d),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w:t>
      </w:r>
      <w:r>
        <w:rPr>
          <w:u w:val="single"/>
        </w:rPr>
        <w:t xml:space="preserve">six</w:t>
      </w:r>
      <w:r>
        <w:t xml:space="preserve"> [</w:t>
      </w:r>
      <w:r>
        <w:rPr>
          <w:strike/>
        </w:rPr>
        <w:t xml:space="preserve">three</w:t>
      </w:r>
      <w:r>
        <w:t xml:space="preserve">] years and failed to be approved.</w:t>
      </w:r>
      <w:r xml:space="preserve">
        <w:t> </w:t>
      </w:r>
      <w:r xml:space="preserve">
        <w:t> </w:t>
      </w:r>
      <w:r>
        <w:t xml:space="preserve">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Sections 271.056(1)-(3);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271.049, Local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Regardless of the sources of payment of certificates, certificates may not be issued unless the issuer publishes notice of its intention to issue the certificates. </w:t>
      </w:r>
      <w:r>
        <w:t xml:space="preserve"> </w:t>
      </w:r>
      <w:r>
        <w:t xml:space="preserve">The notice must be published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once a week for two consecutive weeks in a newspaper, as defined by Subchapter C, Chapter 2051, Government Code, that is of general circulation in the area of the issuer, with the date of the first publication to be before the 30th day before the date tentatively set for the passage of the order or ordinance authorizing the issuance of the certificates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continuously on the issuer's Internet website for at least 30 days before the date tentatively set for the passage of the order or ordinance authorizing the issuance of the certificates</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issuer shall maintain an Internet website to comply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271.049, Local Government Code, as amended by this Act, applies only to a certificate of obligation for which the first notice of intention to issue the certificate is made on or after the effective date of this Act. A certificate of obligation for which the first notice of intention to issue the certificate is made before the effective date of this Act is governed by the law in effect on the date the notice of intention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