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86R4319 SLB-F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Flores</w:t>
      </w:r>
      <w:r xml:space="preserve">
        <w:tab wTab="150" tlc="none" cTlc="0"/>
      </w:r>
      <w:r>
        <w:t xml:space="preserve">S.B.</w:t>
      </w:r>
      <w:r xml:space="preserve">
        <w:t> </w:t>
      </w:r>
      <w:r>
        <w:t xml:space="preserve">No.</w:t>
      </w:r>
      <w:r xml:space="preserve">
        <w:t> </w:t>
      </w:r>
      <w:r>
        <w:t xml:space="preserve">655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restriction on permits authorizing direct discharges of waste or pollutants into water in certain areas of the Edwards Aquifer.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26, Water Code, is amended by adding Section 26.0462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26.0462.</w:t>
      </w:r>
      <w:r>
        <w:rPr>
          <w:u w:val="single"/>
        </w:rPr>
        <w:t xml:space="preserve"> </w:t>
      </w:r>
      <w:r>
        <w:rPr>
          <w:u w:val="single"/>
        </w:rPr>
        <w:t xml:space="preserve"> </w:t>
      </w:r>
      <w:r>
        <w:rPr>
          <w:u w:val="single"/>
        </w:rPr>
        <w:t xml:space="preserve">RESTRICTION ON PERMITS FOR DIRECT DISCHARGES OF WASTE OR POLLUTANTS INTO WATER IN CERTAIN ZONES OF EDWARDS AQUIFER.  (a)  The commission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issue a new permit authorizing the direct discharge of waste or pollutants into any water in the contributing zone associated with the portion of the recharge zone of the Edwards Aquifer that is within the Nueces River basin;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amend a permit issued before September 1, 2019, to authorize an increase in the amount of waste or pollutants that may be directly discharged into any water described by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affect the authority of the commission to authorize stormwater and certain non-stormwater discharges as specified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commission's individual permits for municipal separate storm sewer systems;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commission's general permits for stormwater and associated non-stormwater discharges.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application for a permit or permit amendment that is submitted to the Texas Commission on Environmental Quality on or after the effective date of this Act.  An application for a permit or permit amendment that was submitted to the Texas Commission on Environmental Quality before the effective date of this Act is governed by the law in effect at the time the application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655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