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w:t>
      </w:r>
      <w:r>
        <w:t xml:space="preserve"> </w:t>
      </w:r>
      <w:r>
        <w:t xml:space="preserve">GOVERNMENT CODE. </w:t>
      </w:r>
      <w:r>
        <w:t xml:space="preserve">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658 passed the Senate on April</w:t>
      </w:r>
      <w:r xml:space="preserve">
        <w:t> </w:t>
      </w:r>
      <w:r>
        <w:t xml:space="preserve">11,</w:t>
      </w:r>
      <w:r xml:space="preserve">
        <w:t> </w:t>
      </w:r>
      <w:r>
        <w:t xml:space="preserve">2019, by the following vote:  Yeas</w:t>
      </w:r>
      <w:r xml:space="preserve">
        <w:t> </w:t>
      </w:r>
      <w:r>
        <w:t xml:space="preserve">30, Nays</w:t>
      </w:r>
      <w:r xml:space="preserve">
        <w:t> </w:t>
      </w:r>
      <w:r>
        <w:t xml:space="preserve">1; and that the Senate concurred in House amendments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658 passed the House, with amendments, on April 26, 2019, by the following vote:  Yeas</w:t>
      </w:r>
      <w:r xml:space="preserve">
        <w:t> </w:t>
      </w:r>
      <w:r>
        <w:t xml:space="preserve">120, Nays</w:t>
      </w:r>
      <w:r xml:space="preserve">
        <w:t> </w:t>
      </w:r>
      <w:r>
        <w:t xml:space="preserve">17,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