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for purposes of recapture under the public school finance system of the taxable value of property of a school district affected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Education Code, is amended by adding Section 41.0025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41.0025.</w:t>
      </w:r>
      <w:r>
        <w:rPr>
          <w:u w:val="single"/>
        </w:rPr>
        <w:t xml:space="preserve"> </w:t>
      </w:r>
      <w:r>
        <w:rPr>
          <w:u w:val="single"/>
        </w:rPr>
        <w:t xml:space="preserve"> </w:t>
      </w:r>
      <w:r>
        <w:rPr>
          <w:u w:val="single"/>
        </w:rPr>
        <w:t xml:space="preserve">DETERMINATION OF PROPERTY VALUE AFFECTED BY DISASTER.  (a) This section applies only to a school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or part of which is located in an area declared a disaster area by the governor under Chapter 418,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commissioner has not adjusted the taxable value of property of the district as affected by that disaster under Section 42.2521 or 42.2523.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school district to which this section applies, the commissioner shall, in determining the district's wealth per student under Section 41.002, use the lesser of the taxable value of property in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year immediately following the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year in which the disaster occurred, adjusted by the average reduction of property values in the district immediately following the disaster, as estimated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commissioner or a school district to which this section applies, an appraisal district that appraises property for the school district shall provide to the commissioner a certified estimate of the average reduction of property values in the school district immediately following the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including rules regarding the deadline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a request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certified estimate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